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A263D"/>
    <w:p w14:paraId="18C6470D"/>
    <w:p w14:paraId="251513A5">
      <w:pPr>
        <w:jc w:val="center"/>
      </w:pPr>
      <w:r>
        <w:rPr>
          <w:rFonts w:ascii="微软雅黑" w:hAnsi="微软雅黑" w:eastAsia="微软雅黑"/>
          <w:b/>
          <w:color w:val="1F3864"/>
          <w:sz w:val="56"/>
        </w:rPr>
        <w:t>北京社会各阶层分析</w:t>
      </w:r>
    </w:p>
    <w:p w14:paraId="36F1135F">
      <w:pPr>
        <w:jc w:val="center"/>
      </w:pPr>
      <w:r>
        <w:rPr>
          <w:rFonts w:ascii="微软雅黑" w:hAnsi="微软雅黑" w:eastAsia="微软雅黑"/>
          <w:color w:val="555555"/>
          <w:sz w:val="28"/>
        </w:rPr>
        <w:t>——基于户籍、房产、体制、学历与代际资源的多维视角</w:t>
      </w:r>
    </w:p>
    <w:p w14:paraId="703BA4E9"/>
    <w:p w14:paraId="6D406DA4"/>
    <w:p w14:paraId="4206D946">
      <w:pPr>
        <w:jc w:val="center"/>
      </w:pPr>
      <w:r>
        <w:rPr>
          <w:rFonts w:ascii="微软雅黑" w:hAnsi="微软雅黑" w:eastAsia="微软雅黑"/>
          <w:sz w:val="28"/>
        </w:rPr>
        <w:t>翰科天成</w:t>
      </w:r>
    </w:p>
    <w:p w14:paraId="4C858834">
      <w:pPr>
        <w:jc w:val="center"/>
      </w:pPr>
      <w:r>
        <w:rPr>
          <w:rFonts w:ascii="微软雅黑" w:hAnsi="微软雅黑" w:eastAsia="微软雅黑"/>
          <w:sz w:val="24"/>
        </w:rPr>
        <w:t>2026年7月</w:t>
      </w:r>
    </w:p>
    <w:p w14:paraId="64D5BA8F">
      <w:r>
        <w:br w:type="page"/>
      </w:r>
    </w:p>
    <w:p w14:paraId="18CE8C36">
      <w:pPr>
        <w:pStyle w:val="3"/>
      </w:pPr>
      <w:r>
        <w:t>引言</w:t>
      </w:r>
    </w:p>
    <w:p w14:paraId="650500AB">
      <w:pPr>
        <w:ind w:firstLine="420"/>
      </w:pPr>
      <w:r>
        <w:rPr>
          <w:rFonts w:ascii="微软雅黑" w:hAnsi="微软雅黑" w:eastAsia="微软雅黑"/>
          <w:sz w:val="21"/>
        </w:rPr>
        <w:t>作为全国政治、文化、科创与金融中心，北京形成了分层清晰、空间割裂、流动性复杂的金字塔型社会结构。不同于普通省会城市以收入单一划分阶层，北京的阶层判定是户籍、房产资产、体制身份、学历职业、代际资源多重要素叠加的结果。</w:t>
      </w:r>
    </w:p>
    <w:p w14:paraId="71852729">
      <w:pPr>
        <w:ind w:firstLine="420"/>
      </w:pPr>
      <w:r>
        <w:rPr>
          <w:rFonts w:ascii="微软雅黑" w:hAnsi="微软雅黑" w:eastAsia="微软雅黑"/>
          <w:sz w:val="21"/>
        </w:rPr>
        <w:t>全市常住人口两千余万，其中本地户籍、长期落户新北京人、外来流动务工者构成三大人群基底，二环内核心城区、近郊改善居住区、远郊通勤板块、城乡结合部形成完全差异化的生存空间。2024年北京居民人均可支配收入85,415元（居全国第二，仅次于上海的88,366元），但财富分配高度分化——城镇居民人均可支配收入92,464元，农村居民仅39,856元，城乡收入比2.32:1；数百万外来务工群体仍在承担高租金、长通勤的生存压力，平行世界共存是这座城市最真实的底色。</w:t>
      </w:r>
    </w:p>
    <w:p w14:paraId="4AFF88D1">
      <w:pPr>
        <w:pStyle w:val="4"/>
      </w:pPr>
      <w:r>
        <w:t>数据总览：北京社会基本面</w:t>
      </w:r>
    </w:p>
    <w:p w14:paraId="2E6BCA7F">
      <w:pPr>
        <w:jc w:val="center"/>
      </w:pPr>
      <w:r>
        <w:rPr>
          <w:rFonts w:ascii="微软雅黑" w:hAnsi="微软雅黑" w:eastAsia="微软雅黑"/>
          <w:b/>
          <w:sz w:val="20"/>
        </w:rPr>
        <w:t>表1 北京市核心人口与经济指标（2020-2025年）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728"/>
        <w:gridCol w:w="1728"/>
        <w:gridCol w:w="1728"/>
        <w:gridCol w:w="1728"/>
      </w:tblGrid>
      <w:tr w14:paraId="11F34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1F3864"/>
          </w:tcPr>
          <w:p w14:paraId="2E4E7B53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  <w:tc>
          <w:tcPr>
            <w:tcW w:w="1728" w:type="dxa"/>
            <w:shd w:val="clear" w:color="auto" w:fill="1F3864"/>
          </w:tcPr>
          <w:p w14:paraId="08E0BFF9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2020年（七普）</w:t>
            </w:r>
          </w:p>
        </w:tc>
        <w:tc>
          <w:tcPr>
            <w:tcW w:w="1728" w:type="dxa"/>
            <w:shd w:val="clear" w:color="auto" w:fill="1F3864"/>
          </w:tcPr>
          <w:p w14:paraId="07F767C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2023年</w:t>
            </w:r>
          </w:p>
        </w:tc>
        <w:tc>
          <w:tcPr>
            <w:tcW w:w="1728" w:type="dxa"/>
            <w:shd w:val="clear" w:color="auto" w:fill="1F3864"/>
          </w:tcPr>
          <w:p w14:paraId="662A882E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2024年</w:t>
            </w:r>
          </w:p>
        </w:tc>
        <w:tc>
          <w:tcPr>
            <w:tcW w:w="1728" w:type="dxa"/>
            <w:shd w:val="clear" w:color="auto" w:fill="1F3864"/>
          </w:tcPr>
          <w:p w14:paraId="320E347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2025年</w:t>
            </w:r>
          </w:p>
        </w:tc>
      </w:tr>
      <w:tr w14:paraId="28418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4F88A5D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常住人口（万人）</w:t>
            </w:r>
          </w:p>
        </w:tc>
        <w:tc>
          <w:tcPr>
            <w:tcW w:w="1728" w:type="dxa"/>
          </w:tcPr>
          <w:p w14:paraId="70C7992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2,189.3</w:t>
            </w:r>
          </w:p>
        </w:tc>
        <w:tc>
          <w:tcPr>
            <w:tcW w:w="1728" w:type="dxa"/>
          </w:tcPr>
          <w:p w14:paraId="341D555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2,185.8</w:t>
            </w:r>
          </w:p>
        </w:tc>
        <w:tc>
          <w:tcPr>
            <w:tcW w:w="1728" w:type="dxa"/>
          </w:tcPr>
          <w:p w14:paraId="0929350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2,183.2</w:t>
            </w:r>
          </w:p>
        </w:tc>
        <w:tc>
          <w:tcPr>
            <w:tcW w:w="1728" w:type="dxa"/>
          </w:tcPr>
          <w:p w14:paraId="2863956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2,180.0</w:t>
            </w:r>
          </w:p>
        </w:tc>
      </w:tr>
      <w:tr w14:paraId="280A0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1144852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户籍人口（万人）</w:t>
            </w:r>
          </w:p>
        </w:tc>
        <w:tc>
          <w:tcPr>
            <w:tcW w:w="1728" w:type="dxa"/>
            <w:shd w:val="clear" w:color="auto" w:fill="E8EDF5"/>
          </w:tcPr>
          <w:p w14:paraId="7AF6F3C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5502399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7B6348E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1,438.0</w:t>
            </w:r>
          </w:p>
        </w:tc>
        <w:tc>
          <w:tcPr>
            <w:tcW w:w="1728" w:type="dxa"/>
            <w:shd w:val="clear" w:color="auto" w:fill="E8EDF5"/>
          </w:tcPr>
          <w:p w14:paraId="2388524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</w:tr>
      <w:tr w14:paraId="135CE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2AF31C4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外来常住人口（万人）</w:t>
            </w:r>
          </w:p>
        </w:tc>
        <w:tc>
          <w:tcPr>
            <w:tcW w:w="1728" w:type="dxa"/>
          </w:tcPr>
          <w:p w14:paraId="1E5AD6D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841.8</w:t>
            </w:r>
          </w:p>
        </w:tc>
        <w:tc>
          <w:tcPr>
            <w:tcW w:w="1728" w:type="dxa"/>
          </w:tcPr>
          <w:p w14:paraId="0033CE7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</w:tcPr>
          <w:p w14:paraId="6A872F9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819.3</w:t>
            </w:r>
          </w:p>
        </w:tc>
        <w:tc>
          <w:tcPr>
            <w:tcW w:w="1728" w:type="dxa"/>
          </w:tcPr>
          <w:p w14:paraId="4D9E0FF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</w:tr>
      <w:tr w14:paraId="07F85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45A2EE5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外来人口占比</w:t>
            </w:r>
          </w:p>
        </w:tc>
        <w:tc>
          <w:tcPr>
            <w:tcW w:w="1728" w:type="dxa"/>
            <w:shd w:val="clear" w:color="auto" w:fill="E8EDF5"/>
          </w:tcPr>
          <w:p w14:paraId="177AC95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38.5%</w:t>
            </w:r>
          </w:p>
        </w:tc>
        <w:tc>
          <w:tcPr>
            <w:tcW w:w="1728" w:type="dxa"/>
            <w:shd w:val="clear" w:color="auto" w:fill="E8EDF5"/>
          </w:tcPr>
          <w:p w14:paraId="03FCF19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3FF2A70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37.5%</w:t>
            </w:r>
          </w:p>
        </w:tc>
        <w:tc>
          <w:tcPr>
            <w:tcW w:w="1728" w:type="dxa"/>
            <w:shd w:val="clear" w:color="auto" w:fill="E8EDF5"/>
          </w:tcPr>
          <w:p w14:paraId="0FE7372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</w:tr>
      <w:tr w14:paraId="1D7CB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52CBBBA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城镇人口占比</w:t>
            </w:r>
          </w:p>
        </w:tc>
        <w:tc>
          <w:tcPr>
            <w:tcW w:w="1728" w:type="dxa"/>
          </w:tcPr>
          <w:p w14:paraId="320C5D4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87.6%</w:t>
            </w:r>
          </w:p>
        </w:tc>
        <w:tc>
          <w:tcPr>
            <w:tcW w:w="1728" w:type="dxa"/>
          </w:tcPr>
          <w:p w14:paraId="1E93084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87.8%</w:t>
            </w:r>
          </w:p>
        </w:tc>
        <w:tc>
          <w:tcPr>
            <w:tcW w:w="1728" w:type="dxa"/>
          </w:tcPr>
          <w:p w14:paraId="5CAD920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88.2%</w:t>
            </w:r>
          </w:p>
        </w:tc>
        <w:tc>
          <w:tcPr>
            <w:tcW w:w="1728" w:type="dxa"/>
          </w:tcPr>
          <w:p w14:paraId="1E2A24D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88.3%</w:t>
            </w:r>
          </w:p>
        </w:tc>
      </w:tr>
      <w:tr w14:paraId="3FAC4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275D067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60岁及以上占比</w:t>
            </w:r>
          </w:p>
        </w:tc>
        <w:tc>
          <w:tcPr>
            <w:tcW w:w="1728" w:type="dxa"/>
            <w:shd w:val="clear" w:color="auto" w:fill="E8EDF5"/>
          </w:tcPr>
          <w:p w14:paraId="4E4E189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79871C0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22.6%</w:t>
            </w:r>
          </w:p>
        </w:tc>
        <w:tc>
          <w:tcPr>
            <w:tcW w:w="1728" w:type="dxa"/>
            <w:shd w:val="clear" w:color="auto" w:fill="E8EDF5"/>
          </w:tcPr>
          <w:p w14:paraId="1BD7F11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23.5%</w:t>
            </w:r>
          </w:p>
        </w:tc>
        <w:tc>
          <w:tcPr>
            <w:tcW w:w="1728" w:type="dxa"/>
            <w:shd w:val="clear" w:color="auto" w:fill="E8EDF5"/>
          </w:tcPr>
          <w:p w14:paraId="795EC6D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24.1%</w:t>
            </w:r>
          </w:p>
        </w:tc>
      </w:tr>
      <w:tr w14:paraId="24B80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5F7501A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65岁及以上占比</w:t>
            </w:r>
          </w:p>
        </w:tc>
        <w:tc>
          <w:tcPr>
            <w:tcW w:w="1728" w:type="dxa"/>
          </w:tcPr>
          <w:p w14:paraId="47A5B81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</w:tcPr>
          <w:p w14:paraId="7C553D7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</w:tcPr>
          <w:p w14:paraId="1F2B175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16.5%</w:t>
            </w:r>
          </w:p>
        </w:tc>
        <w:tc>
          <w:tcPr>
            <w:tcW w:w="1728" w:type="dxa"/>
          </w:tcPr>
          <w:p w14:paraId="3C910D3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17.0%</w:t>
            </w:r>
          </w:p>
        </w:tc>
      </w:tr>
      <w:tr w14:paraId="2A06A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692EF7C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0-14岁占比</w:t>
            </w:r>
          </w:p>
        </w:tc>
        <w:tc>
          <w:tcPr>
            <w:tcW w:w="1728" w:type="dxa"/>
            <w:shd w:val="clear" w:color="auto" w:fill="E8EDF5"/>
          </w:tcPr>
          <w:p w14:paraId="7B110F4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147365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12.0%</w:t>
            </w:r>
          </w:p>
        </w:tc>
        <w:tc>
          <w:tcPr>
            <w:tcW w:w="1728" w:type="dxa"/>
            <w:shd w:val="clear" w:color="auto" w:fill="E8EDF5"/>
          </w:tcPr>
          <w:p w14:paraId="754AD77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3139BE3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11.9%</w:t>
            </w:r>
          </w:p>
        </w:tc>
      </w:tr>
      <w:tr w14:paraId="1CD45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751F116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人均可支配收入（元）</w:t>
            </w:r>
          </w:p>
        </w:tc>
        <w:tc>
          <w:tcPr>
            <w:tcW w:w="1728" w:type="dxa"/>
          </w:tcPr>
          <w:p w14:paraId="146356C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</w:tcPr>
          <w:p w14:paraId="0103B47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</w:tcPr>
          <w:p w14:paraId="4B03DBE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85,415</w:t>
            </w:r>
          </w:p>
        </w:tc>
        <w:tc>
          <w:tcPr>
            <w:tcW w:w="1728" w:type="dxa"/>
          </w:tcPr>
          <w:p w14:paraId="1CCE6BC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</w:tr>
      <w:tr w14:paraId="76800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513BE27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人均GDP（万元）</w:t>
            </w:r>
          </w:p>
        </w:tc>
        <w:tc>
          <w:tcPr>
            <w:tcW w:w="1728" w:type="dxa"/>
            <w:shd w:val="clear" w:color="auto" w:fill="E8EDF5"/>
          </w:tcPr>
          <w:p w14:paraId="17BDF4B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3D75B96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  <w:tc>
          <w:tcPr>
            <w:tcW w:w="1728" w:type="dxa"/>
            <w:shd w:val="clear" w:color="auto" w:fill="E8EDF5"/>
          </w:tcPr>
          <w:p w14:paraId="08135B8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22.8</w:t>
            </w:r>
          </w:p>
        </w:tc>
        <w:tc>
          <w:tcPr>
            <w:tcW w:w="1728" w:type="dxa"/>
            <w:shd w:val="clear" w:color="auto" w:fill="E8EDF5"/>
          </w:tcPr>
          <w:p w14:paraId="0776B5F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—</w:t>
            </w:r>
          </w:p>
        </w:tc>
      </w:tr>
    </w:tbl>
    <w:p w14:paraId="6227AA80"/>
    <w:p w14:paraId="3E2D04C9">
      <w:pPr>
        <w:shd w:val="clear" w:fill="F0F4F8"/>
        <w:ind w:left="567" w:right="567"/>
      </w:pPr>
      <w:r>
        <w:rPr>
          <w:rFonts w:ascii="微软雅黑" w:hAnsi="微软雅黑" w:eastAsia="微软雅黑"/>
          <w:i/>
          <w:color w:val="444444"/>
          <w:sz w:val="19"/>
        </w:rPr>
        <w:t>▎ 数据来源：北京市统计局《2024年国民经济和社会发展统计公报》、2025年全国1%人口抽样调查公报。2024年外来常住人口819.3万人，占常住人口37.5%；户籍人口1,438.0万人，近十年平稳增长。常住人口自2018年起呈小幅波动下行趋势，2025年自然增长率首次转负（-0.73‰），老龄化加速与青年人口外流叠加。</w:t>
      </w:r>
    </w:p>
    <w:p w14:paraId="7C4F7BC9">
      <w:pPr>
        <w:ind w:firstLine="420"/>
      </w:pPr>
      <w:r>
        <w:rPr>
          <w:rFonts w:ascii="微软雅黑" w:hAnsi="微软雅黑" w:eastAsia="微软雅黑"/>
          <w:sz w:val="21"/>
        </w:rPr>
        <w:t>从受教育程度看，2025年全市常住人口中具有大学（大专及以上）文化程度者达993万人，占常住人口的45.5%，高等教育密度居全国首位。但同时，具有初中及以下文化程度者仍有670万人，主要集中于外来务工群体和老年土著，人力资本断层明显。</w:t>
      </w:r>
    </w:p>
    <w:p w14:paraId="0F4F82A9">
      <w:pPr>
        <w:jc w:val="center"/>
      </w:pPr>
      <w:r>
        <w:rPr>
          <w:rFonts w:ascii="微软雅黑" w:hAnsi="微软雅黑" w:eastAsia="微软雅黑"/>
          <w:b/>
          <w:sz w:val="20"/>
        </w:rPr>
        <w:t>表2 北京市居民消费支出结构（2024-2025年）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7D0C2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1F3864"/>
          </w:tcPr>
          <w:p w14:paraId="3E962560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消费类别</w:t>
            </w:r>
          </w:p>
        </w:tc>
        <w:tc>
          <w:tcPr>
            <w:tcW w:w="2160" w:type="dxa"/>
            <w:shd w:val="clear" w:color="auto" w:fill="1F3864"/>
          </w:tcPr>
          <w:p w14:paraId="51EBF7B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2024年人均支出（元）</w:t>
            </w:r>
          </w:p>
        </w:tc>
        <w:tc>
          <w:tcPr>
            <w:tcW w:w="2160" w:type="dxa"/>
            <w:shd w:val="clear" w:color="auto" w:fill="1F3864"/>
          </w:tcPr>
          <w:p w14:paraId="3B9BBCDE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2025年人均支出（元）</w:t>
            </w:r>
          </w:p>
        </w:tc>
        <w:tc>
          <w:tcPr>
            <w:tcW w:w="2160" w:type="dxa"/>
            <w:shd w:val="clear" w:color="auto" w:fill="1F3864"/>
          </w:tcPr>
          <w:p w14:paraId="7069EE2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同比变化</w:t>
            </w:r>
          </w:p>
        </w:tc>
      </w:tr>
      <w:tr w14:paraId="46AD9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191E1A5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食品烟酒</w:t>
            </w:r>
          </w:p>
        </w:tc>
        <w:tc>
          <w:tcPr>
            <w:tcW w:w="2160" w:type="dxa"/>
          </w:tcPr>
          <w:p w14:paraId="5027761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10,135</w:t>
            </w:r>
          </w:p>
        </w:tc>
        <w:tc>
          <w:tcPr>
            <w:tcW w:w="2160" w:type="dxa"/>
          </w:tcPr>
          <w:p w14:paraId="1990A06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10,247</w:t>
            </w:r>
          </w:p>
        </w:tc>
        <w:tc>
          <w:tcPr>
            <w:tcW w:w="2160" w:type="dxa"/>
          </w:tcPr>
          <w:p w14:paraId="6DA4A68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+1.1%</w:t>
            </w:r>
          </w:p>
        </w:tc>
      </w:tr>
      <w:tr w14:paraId="66C2E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0B98A58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衣着</w:t>
            </w:r>
          </w:p>
        </w:tc>
        <w:tc>
          <w:tcPr>
            <w:tcW w:w="2160" w:type="dxa"/>
            <w:shd w:val="clear" w:color="auto" w:fill="E8EDF5"/>
          </w:tcPr>
          <w:p w14:paraId="2500EAF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2,030</w:t>
            </w:r>
          </w:p>
        </w:tc>
        <w:tc>
          <w:tcPr>
            <w:tcW w:w="2160" w:type="dxa"/>
            <w:shd w:val="clear" w:color="auto" w:fill="E8EDF5"/>
          </w:tcPr>
          <w:p w14:paraId="1223FE5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2,144</w:t>
            </w:r>
          </w:p>
        </w:tc>
        <w:tc>
          <w:tcPr>
            <w:tcW w:w="2160" w:type="dxa"/>
            <w:shd w:val="clear" w:color="auto" w:fill="E8EDF5"/>
          </w:tcPr>
          <w:p w14:paraId="01B8661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+5.6%</w:t>
            </w:r>
          </w:p>
        </w:tc>
      </w:tr>
      <w:tr w14:paraId="64526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60FFA89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</w:t>
            </w:r>
          </w:p>
        </w:tc>
        <w:tc>
          <w:tcPr>
            <w:tcW w:w="2160" w:type="dxa"/>
          </w:tcPr>
          <w:p w14:paraId="5F82CC0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19,240</w:t>
            </w:r>
          </w:p>
        </w:tc>
        <w:tc>
          <w:tcPr>
            <w:tcW w:w="2160" w:type="dxa"/>
          </w:tcPr>
          <w:p w14:paraId="1F244B8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19,433</w:t>
            </w:r>
          </w:p>
        </w:tc>
        <w:tc>
          <w:tcPr>
            <w:tcW w:w="2160" w:type="dxa"/>
          </w:tcPr>
          <w:p w14:paraId="1CEDF12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+1.0%</w:t>
            </w:r>
          </w:p>
        </w:tc>
      </w:tr>
      <w:tr w14:paraId="44238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0ED032A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生活用品及服务</w:t>
            </w:r>
          </w:p>
        </w:tc>
        <w:tc>
          <w:tcPr>
            <w:tcW w:w="2160" w:type="dxa"/>
            <w:shd w:val="clear" w:color="auto" w:fill="E8EDF5"/>
          </w:tcPr>
          <w:p w14:paraId="3F4A134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2,264</w:t>
            </w:r>
          </w:p>
        </w:tc>
        <w:tc>
          <w:tcPr>
            <w:tcW w:w="2160" w:type="dxa"/>
            <w:shd w:val="clear" w:color="auto" w:fill="E8EDF5"/>
          </w:tcPr>
          <w:p w14:paraId="30398FF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2,415</w:t>
            </w:r>
          </w:p>
        </w:tc>
        <w:tc>
          <w:tcPr>
            <w:tcW w:w="2160" w:type="dxa"/>
            <w:shd w:val="clear" w:color="auto" w:fill="E8EDF5"/>
          </w:tcPr>
          <w:p w14:paraId="1CAE305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+6.7%</w:t>
            </w:r>
          </w:p>
        </w:tc>
      </w:tr>
      <w:tr w14:paraId="7A8C6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7EC1E03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交通通信</w:t>
            </w:r>
          </w:p>
        </w:tc>
        <w:tc>
          <w:tcPr>
            <w:tcW w:w="2160" w:type="dxa"/>
          </w:tcPr>
          <w:p w14:paraId="545D54F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5,464</w:t>
            </w:r>
          </w:p>
        </w:tc>
        <w:tc>
          <w:tcPr>
            <w:tcW w:w="2160" w:type="dxa"/>
          </w:tcPr>
          <w:p w14:paraId="6283CE6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5,624</w:t>
            </w:r>
          </w:p>
        </w:tc>
        <w:tc>
          <w:tcPr>
            <w:tcW w:w="2160" w:type="dxa"/>
          </w:tcPr>
          <w:p w14:paraId="0AC0BD2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+2.9%</w:t>
            </w:r>
          </w:p>
        </w:tc>
      </w:tr>
      <w:tr w14:paraId="1E6B6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668513A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教育文化娱乐</w:t>
            </w:r>
          </w:p>
        </w:tc>
        <w:tc>
          <w:tcPr>
            <w:tcW w:w="2160" w:type="dxa"/>
            <w:shd w:val="clear" w:color="auto" w:fill="E8EDF5"/>
          </w:tcPr>
          <w:p w14:paraId="20E3570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4,543</w:t>
            </w:r>
          </w:p>
        </w:tc>
        <w:tc>
          <w:tcPr>
            <w:tcW w:w="2160" w:type="dxa"/>
            <w:shd w:val="clear" w:color="auto" w:fill="E8EDF5"/>
          </w:tcPr>
          <w:p w14:paraId="012A4A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4,838</w:t>
            </w:r>
          </w:p>
        </w:tc>
        <w:tc>
          <w:tcPr>
            <w:tcW w:w="2160" w:type="dxa"/>
            <w:shd w:val="clear" w:color="auto" w:fill="E8EDF5"/>
          </w:tcPr>
          <w:p w14:paraId="1650115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+6.5%</w:t>
            </w:r>
          </w:p>
        </w:tc>
      </w:tr>
      <w:tr w14:paraId="3CD94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42D6E3B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医疗保健</w:t>
            </w:r>
          </w:p>
        </w:tc>
        <w:tc>
          <w:tcPr>
            <w:tcW w:w="2160" w:type="dxa"/>
          </w:tcPr>
          <w:p w14:paraId="4F52BB3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4,588</w:t>
            </w:r>
          </w:p>
        </w:tc>
        <w:tc>
          <w:tcPr>
            <w:tcW w:w="2160" w:type="dxa"/>
          </w:tcPr>
          <w:p w14:paraId="3397086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4,263</w:t>
            </w:r>
          </w:p>
        </w:tc>
        <w:tc>
          <w:tcPr>
            <w:tcW w:w="2160" w:type="dxa"/>
          </w:tcPr>
          <w:p w14:paraId="0646B55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-7.1%</w:t>
            </w:r>
          </w:p>
        </w:tc>
      </w:tr>
      <w:tr w14:paraId="4BCAC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33FFB81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其他用品及服务</w:t>
            </w:r>
          </w:p>
        </w:tc>
        <w:tc>
          <w:tcPr>
            <w:tcW w:w="2160" w:type="dxa"/>
            <w:shd w:val="clear" w:color="auto" w:fill="E8EDF5"/>
          </w:tcPr>
          <w:p w14:paraId="7C375AE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1,484</w:t>
            </w:r>
          </w:p>
        </w:tc>
        <w:tc>
          <w:tcPr>
            <w:tcW w:w="2160" w:type="dxa"/>
            <w:shd w:val="clear" w:color="auto" w:fill="E8EDF5"/>
          </w:tcPr>
          <w:p w14:paraId="050FCA1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1,703</w:t>
            </w:r>
          </w:p>
        </w:tc>
        <w:tc>
          <w:tcPr>
            <w:tcW w:w="2160" w:type="dxa"/>
            <w:shd w:val="clear" w:color="auto" w:fill="E8EDF5"/>
          </w:tcPr>
          <w:p w14:paraId="6DE66B2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+14.4%</w:t>
            </w:r>
          </w:p>
        </w:tc>
      </w:tr>
      <w:tr w14:paraId="7E57E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5E91C00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合计</w:t>
            </w:r>
          </w:p>
        </w:tc>
        <w:tc>
          <w:tcPr>
            <w:tcW w:w="2160" w:type="dxa"/>
          </w:tcPr>
          <w:p w14:paraId="584C986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49,748</w:t>
            </w:r>
          </w:p>
        </w:tc>
        <w:tc>
          <w:tcPr>
            <w:tcW w:w="2160" w:type="dxa"/>
          </w:tcPr>
          <w:p w14:paraId="67AE22F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50,667</w:t>
            </w:r>
          </w:p>
        </w:tc>
        <w:tc>
          <w:tcPr>
            <w:tcW w:w="2160" w:type="dxa"/>
          </w:tcPr>
          <w:p w14:paraId="106B7F4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+1.8%</w:t>
            </w:r>
          </w:p>
        </w:tc>
      </w:tr>
    </w:tbl>
    <w:p w14:paraId="4455FA08"/>
    <w:p w14:paraId="66F548D9">
      <w:pPr>
        <w:shd w:val="clear" w:fill="F0F4F8"/>
        <w:ind w:left="567" w:right="567"/>
      </w:pPr>
      <w:r>
        <w:rPr>
          <w:rFonts w:ascii="微软雅黑" w:hAnsi="微软雅黑" w:eastAsia="微软雅黑"/>
          <w:i/>
          <w:color w:val="444444"/>
          <w:sz w:val="19"/>
        </w:rPr>
        <w:t>▎ 数据来源：北京市统计局。2024年全市居民恩格尔系数降至20.4%，服务性消费支出占比58.6%，为近5年最高。城镇居民人均消费53,214元，农村居民27,349元，消费差距显著。</w:t>
      </w:r>
    </w:p>
    <w:p w14:paraId="0C08FC75">
      <w:pPr>
        <w:pStyle w:val="3"/>
      </w:pPr>
      <w:r>
        <w:t>一、顶层财富与精英阶层（塔尖，占比不足0.5%）</w:t>
      </w:r>
    </w:p>
    <w:p w14:paraId="2D6C05F2">
      <w:pPr>
        <w:ind w:firstLine="420"/>
      </w:pPr>
      <w:r>
        <w:rPr>
          <w:rFonts w:ascii="微软雅黑" w:hAnsi="微软雅黑" w:eastAsia="微软雅黑"/>
          <w:sz w:val="21"/>
        </w:rPr>
        <w:t>该阶层包括头部民企创始人、资本富豪等。头部金融、互联网、地产创始人净资产数千万至数亿，核心资产集中在东城、西城、朝阳公园、西山别墅区，单套房产价值数千万至上亿。</w:t>
      </w:r>
    </w:p>
    <w:p w14:paraId="46602663">
      <w:pPr>
        <w:ind w:firstLine="420"/>
      </w:pPr>
      <w:r>
        <w:rPr>
          <w:rFonts w:ascii="微软雅黑" w:hAnsi="微软雅黑" w:eastAsia="微软雅黑"/>
          <w:sz w:val="21"/>
        </w:rPr>
        <w:t>职业特征：上市公司实控人、头部投资机构合伙人、文化行业顶级从业者。家庭年收入普遍200万以上，净资产2000万起步，多数持有多套核心学区房、高端别墅，金融资产充足，无房贷压力。</w:t>
      </w:r>
    </w:p>
    <w:p w14:paraId="3278BB8D">
      <w:pPr>
        <w:pStyle w:val="5"/>
      </w:pPr>
      <w:r>
        <w:t>数据画像</w:t>
      </w:r>
    </w:p>
    <w:p w14:paraId="194D1E6E">
      <w:pPr>
        <w:jc w:val="center"/>
      </w:pPr>
      <w:r>
        <w:rPr>
          <w:rFonts w:ascii="微软雅黑" w:hAnsi="微软雅黑" w:eastAsia="微软雅黑"/>
          <w:b/>
          <w:sz w:val="20"/>
        </w:rPr>
        <w:t>表3 顶层精英阶层核心指标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03D7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31F7C5F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60BE7DE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494BF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5C7984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家庭年收入</w:t>
            </w:r>
          </w:p>
        </w:tc>
        <w:tc>
          <w:tcPr>
            <w:tcW w:w="4320" w:type="dxa"/>
          </w:tcPr>
          <w:p w14:paraId="119A45A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200万以上，上不封顶</w:t>
            </w:r>
          </w:p>
        </w:tc>
      </w:tr>
      <w:tr w14:paraId="0B637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1B91555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家庭净资产</w:t>
            </w:r>
          </w:p>
        </w:tc>
        <w:tc>
          <w:tcPr>
            <w:tcW w:w="4320" w:type="dxa"/>
            <w:shd w:val="clear" w:color="auto" w:fill="E8EDF5"/>
          </w:tcPr>
          <w:p w14:paraId="1B4BFCA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2,000万起步，多集中于5,000万-数亿</w:t>
            </w:r>
          </w:p>
        </w:tc>
      </w:tr>
      <w:tr w14:paraId="3AFF2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B09A40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房产持有</w:t>
            </w:r>
          </w:p>
        </w:tc>
        <w:tc>
          <w:tcPr>
            <w:tcW w:w="4320" w:type="dxa"/>
          </w:tcPr>
          <w:p w14:paraId="6185B59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多套核心区房产，含学区房、别墅、大平层</w:t>
            </w:r>
          </w:p>
        </w:tc>
      </w:tr>
      <w:tr w14:paraId="6F2A7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39D4672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居住区域</w:t>
            </w:r>
          </w:p>
        </w:tc>
        <w:tc>
          <w:tcPr>
            <w:tcW w:w="4320" w:type="dxa"/>
            <w:shd w:val="clear" w:color="auto" w:fill="E8EDF5"/>
          </w:tcPr>
          <w:p w14:paraId="772A85C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东西城核心区、朝阳公园周边、西山别墅区</w:t>
            </w:r>
          </w:p>
        </w:tc>
      </w:tr>
      <w:tr w14:paraId="4B264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31AB08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子女教育</w:t>
            </w:r>
          </w:p>
        </w:tc>
        <w:tc>
          <w:tcPr>
            <w:tcW w:w="4320" w:type="dxa"/>
          </w:tcPr>
          <w:p w14:paraId="051C999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国际学校（年均20-40万）或顶尖公立名校</w:t>
            </w:r>
          </w:p>
        </w:tc>
      </w:tr>
      <w:tr w14:paraId="3FAE0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1DC1C53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  <w:shd w:val="clear" w:color="auto" w:fill="E8EDF5"/>
          </w:tcPr>
          <w:p w14:paraId="5F5A320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约1-1.5万人（占常住人口不足0.1%）</w:t>
            </w:r>
          </w:p>
        </w:tc>
      </w:tr>
    </w:tbl>
    <w:p w14:paraId="21F0E0E9"/>
    <w:p w14:paraId="0BD3ED2D">
      <w:pPr>
        <w:pStyle w:val="5"/>
      </w:pPr>
      <w:r>
        <w:t>子群体细分</w:t>
      </w:r>
    </w:p>
    <w:p w14:paraId="6CA880C7">
      <w:pPr>
        <w:ind w:firstLine="420"/>
      </w:pPr>
      <w:r>
        <w:rPr>
          <w:rFonts w:ascii="微软雅黑" w:hAnsi="微软雅黑" w:eastAsia="微软雅黑"/>
          <w:sz w:val="21"/>
        </w:rPr>
        <w:t>该阶层内部可细分为三类子群体：第一，产业资本家族——以互联网、新能源、生物医药等行业的创始人家族为代表，财富高度集中于企业股权，个人消费占资产比例极低，核心关切为产业周期、政策合规与代际交接；第二，金融资本精英——头部投资机构合伙人、对冲基金管理者，财富以金融资产为主，流动性强，对宏观经济与资本市场波动极度敏感；第三，文化与社会名流——文化行业顶级从业者、知名艺术家、社会活动家，资产规模相对较小但社会影响力突出，圈层资源与文化资本构成核心竞争力。</w:t>
      </w:r>
    </w:p>
    <w:p w14:paraId="20DC1117">
      <w:pPr>
        <w:pStyle w:val="5"/>
      </w:pPr>
      <w:r>
        <w:t>消费与生活方式</w:t>
      </w:r>
    </w:p>
    <w:p w14:paraId="4BAB7214">
      <w:pPr>
        <w:ind w:firstLine="420"/>
      </w:pPr>
      <w:r>
        <w:rPr>
          <w:rFonts w:ascii="微软雅黑" w:hAnsi="微软雅黑" w:eastAsia="微软雅黑"/>
          <w:sz w:val="21"/>
        </w:rPr>
        <w:t>消费已完全脱离功能性需求，转向身份标识与圈层认同。核心消费场景包括：私人会所年费20-50万、子女国际学校年均20-40万、海外第二身份配置（投资移民）50-200万美元、艺术品收藏年投入百万级、高端健康管理（私立医院年卡5-20万）。该群体消费决策的核心逻辑不是"买什么"，而是"和谁一起消费"——圈层归属感远超物质满足。</w:t>
      </w:r>
    </w:p>
    <w:p w14:paraId="1B06703B">
      <w:pPr>
        <w:pStyle w:val="5"/>
      </w:pPr>
      <w:r>
        <w:t>代际传承机制</w:t>
      </w:r>
    </w:p>
    <w:p w14:paraId="61B36D52">
      <w:pPr>
        <w:ind w:firstLine="420"/>
      </w:pPr>
      <w:r>
        <w:rPr>
          <w:rFonts w:ascii="微软雅黑" w:hAnsi="微软雅黑" w:eastAsia="微软雅黑"/>
          <w:sz w:val="21"/>
        </w:rPr>
        <w:t>阶层壁垒：圈层门槛极高，普通工薪阶层几乎无向上流动通道，身份、人脉、原始资本三重壁垒隔绝外部人群，与其他阶层形成物理、社交双重隔离。该阶层并非简单的财富堆叠，而是"资本-权力-人脉"三位一体的封闭网络。代际传承是该阶层最核心的关切——家族信托、海外资产配置、子女精英教育（伊顿、哈罗等海外名校或国内顶尖国际部）构成代际资源传递的三条主线。以北京核心区房产为例，2020-2023年间一套千万级房产年均增值即相当于普通中产10年工资，资产增值速度远超工薪收入，资本复利效应持续强化代际优势。</w:t>
      </w:r>
    </w:p>
    <w:p w14:paraId="003A2D54">
      <w:pPr>
        <w:pStyle w:val="3"/>
      </w:pPr>
      <w:r>
        <w:t>二、高阶中产与体制中坚阶层（塔身上层，占比约3%）</w:t>
      </w:r>
    </w:p>
    <w:p w14:paraId="1DBD1B8C">
      <w:pPr>
        <w:ind w:firstLine="420"/>
      </w:pPr>
      <w:r>
        <w:rPr>
          <w:rFonts w:ascii="微软雅黑" w:hAnsi="微软雅黑" w:eastAsia="微软雅黑"/>
          <w:sz w:val="21"/>
        </w:rPr>
        <w:t>这一层是普通人认知中"北京成功人士"，分为两类：一是体制内高中层干部、高校资深教授、三甲医院主任医师、重点中小学骨干；二是互联网大厂总监、律所高级合伙人、金融机构资深经理、外企亚太管理层。</w:t>
      </w:r>
    </w:p>
    <w:p w14:paraId="38D9132B">
      <w:pPr>
        <w:ind w:firstLine="420"/>
      </w:pPr>
      <w:r>
        <w:rPr>
          <w:rFonts w:ascii="微软雅黑" w:hAnsi="微软雅黑" w:eastAsia="微软雅黑"/>
          <w:sz w:val="21"/>
        </w:rPr>
        <w:t>判定标准：家庭税后年收入80-200万，净资产800万-2,000万，至少持有一套核心或次核心改善住房，部分家庭持有二套学区房，房贷压力可控，家庭储蓄充足，可自由支配教育、旅游、养老预算。多数为外地顶尖高校毕业生，依靠学历、专业能力落户北京，属于"靠自身奋斗实现阶层跃升"的典型群体。</w:t>
      </w:r>
    </w:p>
    <w:p w14:paraId="0E8CA998">
      <w:pPr>
        <w:pStyle w:val="5"/>
      </w:pPr>
      <w:r>
        <w:t>数据画像</w:t>
      </w:r>
    </w:p>
    <w:p w14:paraId="18D5F7E7">
      <w:pPr>
        <w:jc w:val="center"/>
      </w:pPr>
      <w:r>
        <w:rPr>
          <w:rFonts w:ascii="微软雅黑" w:hAnsi="微软雅黑" w:eastAsia="微软雅黑"/>
          <w:b/>
          <w:sz w:val="20"/>
        </w:rPr>
        <w:t>表4 高阶中产阶层核心指标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E534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62ED1639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04D1CA7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6E847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1B852C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家庭税后年收入</w:t>
            </w:r>
          </w:p>
        </w:tc>
        <w:tc>
          <w:tcPr>
            <w:tcW w:w="4320" w:type="dxa"/>
          </w:tcPr>
          <w:p w14:paraId="43679A1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80-200万</w:t>
            </w:r>
          </w:p>
        </w:tc>
      </w:tr>
      <w:tr w14:paraId="18862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1EA8C0B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家庭净资产</w:t>
            </w:r>
          </w:p>
        </w:tc>
        <w:tc>
          <w:tcPr>
            <w:tcW w:w="4320" w:type="dxa"/>
            <w:shd w:val="clear" w:color="auto" w:fill="E8EDF5"/>
          </w:tcPr>
          <w:p w14:paraId="33E4374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800万-2,000万</w:t>
            </w:r>
          </w:p>
        </w:tc>
      </w:tr>
      <w:tr w14:paraId="5CBFD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DF94AF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房产持有</w:t>
            </w:r>
          </w:p>
        </w:tc>
        <w:tc>
          <w:tcPr>
            <w:tcW w:w="4320" w:type="dxa"/>
          </w:tcPr>
          <w:p w14:paraId="65CAC23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1-2套核心/次核心改善住房</w:t>
            </w:r>
          </w:p>
        </w:tc>
      </w:tr>
      <w:tr w14:paraId="7FDE5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694FC22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居住区域</w:t>
            </w:r>
          </w:p>
        </w:tc>
        <w:tc>
          <w:tcPr>
            <w:tcW w:w="4320" w:type="dxa"/>
            <w:shd w:val="clear" w:color="auto" w:fill="E8EDF5"/>
          </w:tcPr>
          <w:p w14:paraId="5F130F4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海淀学区、朝阳望京/CBD、丰台丽泽</w:t>
            </w:r>
          </w:p>
        </w:tc>
      </w:tr>
      <w:tr w14:paraId="0E817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98A821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房贷压力</w:t>
            </w:r>
          </w:p>
        </w:tc>
        <w:tc>
          <w:tcPr>
            <w:tcW w:w="4320" w:type="dxa"/>
          </w:tcPr>
          <w:p w14:paraId="75DD580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可控，月供占收入比低于30%</w:t>
            </w:r>
          </w:p>
        </w:tc>
      </w:tr>
      <w:tr w14:paraId="5C2CC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71C9AEA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年教育支出</w:t>
            </w:r>
          </w:p>
        </w:tc>
        <w:tc>
          <w:tcPr>
            <w:tcW w:w="4320" w:type="dxa"/>
            <w:shd w:val="clear" w:color="auto" w:fill="E8EDF5"/>
          </w:tcPr>
          <w:p w14:paraId="741A6A1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10-30万（含课外培训、国际学校等）</w:t>
            </w:r>
          </w:p>
        </w:tc>
      </w:tr>
      <w:tr w14:paraId="0B4CA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06B657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</w:tcPr>
          <w:p w14:paraId="284CAD8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约65万人（占常住人口约3%）</w:t>
            </w:r>
          </w:p>
        </w:tc>
      </w:tr>
    </w:tbl>
    <w:p w14:paraId="79642BC5"/>
    <w:p w14:paraId="5D8E68C1">
      <w:pPr>
        <w:pStyle w:val="5"/>
      </w:pPr>
      <w:r>
        <w:t>子群体细分</w:t>
      </w:r>
    </w:p>
    <w:p w14:paraId="222882F4">
      <w:pPr>
        <w:ind w:firstLine="420"/>
      </w:pPr>
      <w:r>
        <w:rPr>
          <w:rFonts w:ascii="微软雅黑" w:hAnsi="微软雅黑" w:eastAsia="微软雅黑"/>
          <w:sz w:val="21"/>
        </w:rPr>
        <w:t>体制中坚群体：副处级及以上公务员、高校教授/博导、三甲医院科室主任、重点中小学校长/特级教师。核心优势为职业稳定性极高、社会资源丰富、退休保障完善——北京2025年养老金计发基数12,049元，35年工龄、平均缴费指数1.13的体制内退休人员月养老金可达7,400元以上。劣势在于薪资天花板明显、流动性差，"升不上去退不下来"的中层困境普遍存在。</w:t>
      </w:r>
    </w:p>
    <w:p w14:paraId="22BBDC46">
      <w:pPr>
        <w:ind w:firstLine="420"/>
      </w:pPr>
      <w:r>
        <w:rPr>
          <w:rFonts w:ascii="微软雅黑" w:hAnsi="微软雅黑" w:eastAsia="微软雅黑"/>
          <w:sz w:val="21"/>
        </w:rPr>
        <w:t>市场精英群体：互联网大厂P8/P9及以上、律所高级合伙人、金融机构VP/总监级、外企亚太管理层。核心优势为收入弹性大、职业天花板高，头部人群年收入可达300-500万。劣势在于职业安全边际低——2025年Q1互联网行业35岁以上员工裁员率42%，"高薪但不稳定"是本质特征，收入中断将直接威胁阶层地位。</w:t>
      </w:r>
    </w:p>
    <w:p w14:paraId="6B5AA600">
      <w:pPr>
        <w:pStyle w:val="5"/>
      </w:pPr>
      <w:r>
        <w:t>35岁危机：数据与实况</w:t>
      </w:r>
    </w:p>
    <w:p w14:paraId="24B354CE">
      <w:pPr>
        <w:ind w:firstLine="420"/>
      </w:pPr>
      <w:r>
        <w:rPr>
          <w:rFonts w:ascii="微软雅黑" w:hAnsi="微软雅黑" w:eastAsia="微软雅黑"/>
          <w:sz w:val="21"/>
        </w:rPr>
        <w:t>互联网行业35岁以上员工正面临系统性挤压。数据显示，2025年Q1互联网行业35岁以上员工裁员率高达42%，是25岁员工的3.6倍；某头部互联网公司35岁以上员工占比从2018年的28%降至2024年的12%，同期校招占比从15%提升至45%。AI技术对初级和中级岗位的替代效应正在加速——2026年多家大公司新增代码中AI生成占比已突破50%，Meta已无人手写代码，谷歌75%新增代码由AI生成。全国总工会2022年调查显示，35-39岁年龄组中54.1%担心失业、70.7%担心技能过时、94.8%感觉有压力，均为各年龄组最高。2026年中央国家机关公务员招录年龄上限已从35周岁调整至38周岁，部分省市事业单位同步放宽，折射出社会对年龄歧视问题的关注。</w:t>
      </w:r>
    </w:p>
    <w:p w14:paraId="6DBE40D2">
      <w:pPr>
        <w:pStyle w:val="5"/>
      </w:pPr>
      <w:r>
        <w:t>消费结构与代际焦虑</w:t>
      </w:r>
    </w:p>
    <w:p w14:paraId="0C507357">
      <w:pPr>
        <w:ind w:firstLine="420"/>
      </w:pPr>
      <w:r>
        <w:rPr>
          <w:rFonts w:ascii="微软雅黑" w:hAnsi="微软雅黑" w:eastAsia="微软雅黑"/>
          <w:sz w:val="21"/>
        </w:rPr>
        <w:t>该群体消费呈现典型的"高投入-高焦虑"特征：教育是最大非住房支出，年均10-30万（课外培训、国际课程、海外游学）；其次是房产改善（换房、二套学区房），单次交易成本千万级；第三是父母养老——北京养老机构577家、床位10.8万张，中高端养老院月费8,000-20,000元，普通退休金难以覆盖。代际焦虑的根源在于：自身阶层地位依赖持续劳动投入，而非资本性收入——一旦因年龄、行业周期被迫退出，家庭收入将断崖式下跌，子女的教育投入与生活质量难以维持。</w:t>
      </w:r>
    </w:p>
    <w:p w14:paraId="5D702109">
      <w:pPr>
        <w:ind w:firstLine="420"/>
      </w:pPr>
      <w:r>
        <w:rPr>
          <w:rFonts w:ascii="微软雅黑" w:hAnsi="微软雅黑" w:eastAsia="微软雅黑"/>
          <w:sz w:val="21"/>
        </w:rPr>
        <w:t>阶层流动天花板：受行业周期、年龄限制明显，互联网35岁危机、体制晋升名额稀缺，很难迈入顶层精英。高阶中产本质上是"高薪打工者"——收入依赖劳动付出，一旦中断则阶层根基动摇，与真正拥有资本性收入的顶层精英存在本质差距。</w:t>
      </w:r>
    </w:p>
    <w:p w14:paraId="1650D40B">
      <w:pPr>
        <w:pStyle w:val="3"/>
      </w:pPr>
      <w:r>
        <w:t>三、普通城市中产（塔身主体，占比约35%，城市中坚）</w:t>
      </w:r>
    </w:p>
    <w:p w14:paraId="30445316">
      <w:pPr>
        <w:ind w:firstLine="420"/>
      </w:pPr>
      <w:r>
        <w:rPr>
          <w:rFonts w:ascii="微软雅黑" w:hAnsi="微软雅黑" w:eastAsia="微软雅黑"/>
          <w:sz w:val="21"/>
        </w:rPr>
        <w:t>这是北京体量最大的稳定群体，也是城市运转核心支撑，包含两类人群：第一，落户新北京人，985/211本科、硕士，普通公务员、中小学教师、普通医生、大厂普通技术岗、设计、传媒、普通金融从业者；第二，早期土著，持有1-2套老城区房产，依靠房租补充收入，夫妻普通工薪。</w:t>
      </w:r>
    </w:p>
    <w:p w14:paraId="3435E7A9">
      <w:pPr>
        <w:ind w:firstLine="420"/>
      </w:pPr>
      <w:r>
        <w:rPr>
          <w:rFonts w:ascii="微软雅黑" w:hAnsi="微软雅黑" w:eastAsia="微软雅黑"/>
          <w:sz w:val="21"/>
        </w:rPr>
        <w:t>收入与资产门槛：家庭税后年收入30-80万，净资产400-800万，多数背负300-600万房贷，居住在朝阳、海淀、昌平、顺义等近郊商品房。单职工年入15-40万，双职工家庭才能达标中产标准，单人很难支撑完整家庭开销。</w:t>
      </w:r>
    </w:p>
    <w:p w14:paraId="0EB244BB">
      <w:pPr>
        <w:pStyle w:val="5"/>
      </w:pPr>
      <w:r>
        <w:t>数据画像</w:t>
      </w:r>
    </w:p>
    <w:p w14:paraId="42D70A83">
      <w:pPr>
        <w:jc w:val="center"/>
      </w:pPr>
      <w:r>
        <w:rPr>
          <w:rFonts w:ascii="微软雅黑" w:hAnsi="微软雅黑" w:eastAsia="微软雅黑"/>
          <w:b/>
          <w:sz w:val="20"/>
        </w:rPr>
        <w:t>表5 普通城市中产核心指标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06A0B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43E1EA0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1994E2F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741DD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B6F11F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家庭税后年收入</w:t>
            </w:r>
          </w:p>
        </w:tc>
        <w:tc>
          <w:tcPr>
            <w:tcW w:w="4320" w:type="dxa"/>
          </w:tcPr>
          <w:p w14:paraId="14DD2C6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30-80万</w:t>
            </w:r>
          </w:p>
        </w:tc>
      </w:tr>
      <w:tr w14:paraId="41A77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017E13B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家庭净资产</w:t>
            </w:r>
          </w:p>
        </w:tc>
        <w:tc>
          <w:tcPr>
            <w:tcW w:w="4320" w:type="dxa"/>
            <w:shd w:val="clear" w:color="auto" w:fill="E8EDF5"/>
          </w:tcPr>
          <w:p w14:paraId="6422BAC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400-800万（房产占比超70%）</w:t>
            </w:r>
          </w:p>
        </w:tc>
      </w:tr>
      <w:tr w14:paraId="6D421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8BCFA9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房贷规模</w:t>
            </w:r>
          </w:p>
        </w:tc>
        <w:tc>
          <w:tcPr>
            <w:tcW w:w="4320" w:type="dxa"/>
          </w:tcPr>
          <w:p w14:paraId="1DF5D95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300-600万，月供1-2.5万</w:t>
            </w:r>
          </w:p>
        </w:tc>
      </w:tr>
      <w:tr w14:paraId="0A8F0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41BA4EC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居住区域</w:t>
            </w:r>
          </w:p>
        </w:tc>
        <w:tc>
          <w:tcPr>
            <w:tcW w:w="4320" w:type="dxa"/>
            <w:shd w:val="clear" w:color="auto" w:fill="E8EDF5"/>
          </w:tcPr>
          <w:p w14:paraId="38B9790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海淀非学区、朝阳非CBD、昌平回龙观/天通苑、顺义</w:t>
            </w:r>
          </w:p>
        </w:tc>
      </w:tr>
      <w:tr w14:paraId="7F380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4212B6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单程通勤时间</w:t>
            </w:r>
          </w:p>
        </w:tc>
        <w:tc>
          <w:tcPr>
            <w:tcW w:w="4320" w:type="dxa"/>
          </w:tcPr>
          <w:p w14:paraId="0C13581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60-90分钟（大量人群超1.5小时）</w:t>
            </w:r>
          </w:p>
        </w:tc>
      </w:tr>
      <w:tr w14:paraId="5C735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60BB3FF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月可支配收入</w:t>
            </w:r>
          </w:p>
        </w:tc>
        <w:tc>
          <w:tcPr>
            <w:tcW w:w="4320" w:type="dxa"/>
            <w:shd w:val="clear" w:color="auto" w:fill="E8EDF5"/>
          </w:tcPr>
          <w:p w14:paraId="10896B0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扣除房贷/教育/赡养后有限</w:t>
            </w:r>
          </w:p>
        </w:tc>
      </w:tr>
      <w:tr w14:paraId="0298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C45153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</w:tcPr>
          <w:p w14:paraId="2B479DB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约760万人（占常住人口约35%）</w:t>
            </w:r>
          </w:p>
        </w:tc>
      </w:tr>
    </w:tbl>
    <w:p w14:paraId="175C5F80"/>
    <w:p w14:paraId="3E4737C1">
      <w:pPr>
        <w:pStyle w:val="5"/>
      </w:pPr>
      <w:r>
        <w:t>通勤困境：时间贫困的量化代价</w:t>
      </w:r>
    </w:p>
    <w:p w14:paraId="7281DAE8">
      <w:pPr>
        <w:ind w:firstLine="420"/>
      </w:pPr>
      <w:r>
        <w:rPr>
          <w:rFonts w:ascii="微软雅黑" w:hAnsi="微软雅黑" w:eastAsia="微软雅黑"/>
          <w:sz w:val="21"/>
        </w:rPr>
        <w:t>北京地铁2024年客流数据显示：乘客平均单次乘车距离17.36公里，平均用时40.52分钟。但这一均值严重低估了远郊通勤群体的实际负担——昌平回龙观/天通苑至国贸、海淀至望京等典型通勤路线，单程普遍超过70分钟。2024年北京60分钟以上通勤者占比约30%，为全国"极端通勤"之最。通勤半径达42公里，与上海、重庆并列全国最大。按每年250个工作日计算，单程90分钟的通勤者每年在通勤上消耗约750小时，相当于31个完整昼夜——这些时间本可用于子女陪伴、技能提升或副业创收，却被城市空间结构强制"征收"。</w:t>
      </w:r>
    </w:p>
    <w:p w14:paraId="0F035568">
      <w:pPr>
        <w:pStyle w:val="5"/>
      </w:pPr>
      <w:r>
        <w:t>房产分化：土著与外来中产的隐形鸿沟</w:t>
      </w:r>
    </w:p>
    <w:p w14:paraId="635F8ED4">
      <w:pPr>
        <w:ind w:firstLine="420"/>
      </w:pPr>
      <w:r>
        <w:rPr>
          <w:rFonts w:ascii="微软雅黑" w:hAnsi="微软雅黑" w:eastAsia="微软雅黑"/>
          <w:sz w:val="21"/>
        </w:rPr>
        <w:t>本土土著中产的特殊性在于：早年低价购入房产，无大额房贷，每月房租收入2-3万，即便工资普通，生活舒适度远高于同收入外来中产。以2025年北京各区二手房价格为例，海淀区均价约79,096元/㎡、朝阳区约66,963元/㎡、西城区超过120,000元/㎡，核心区一套80㎡房产价值即达600-1,000万元。房产资产是二者最大分界线——同样月入2万的家庭，持有一套无贷核心区房产的土著中产，与背负500万房贷的外来中产，实际生活品质天差地别。</w:t>
      </w:r>
    </w:p>
    <w:p w14:paraId="42492437">
      <w:pPr>
        <w:jc w:val="center"/>
      </w:pPr>
      <w:r>
        <w:rPr>
          <w:rFonts w:ascii="微软雅黑" w:hAnsi="微软雅黑" w:eastAsia="微软雅黑"/>
          <w:b/>
          <w:sz w:val="20"/>
        </w:rPr>
        <w:t>表6 2025年北京各区二手房均价参考（元/㎡）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14DD9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1F3864"/>
          </w:tcPr>
          <w:p w14:paraId="011F1AE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区域</w:t>
            </w:r>
          </w:p>
        </w:tc>
        <w:tc>
          <w:tcPr>
            <w:tcW w:w="2160" w:type="dxa"/>
            <w:shd w:val="clear" w:color="auto" w:fill="1F3864"/>
          </w:tcPr>
          <w:p w14:paraId="4A0D8A71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均价</w:t>
            </w:r>
          </w:p>
        </w:tc>
        <w:tc>
          <w:tcPr>
            <w:tcW w:w="2160" w:type="dxa"/>
            <w:shd w:val="clear" w:color="auto" w:fill="1F3864"/>
          </w:tcPr>
          <w:p w14:paraId="14784B16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区域</w:t>
            </w:r>
          </w:p>
        </w:tc>
        <w:tc>
          <w:tcPr>
            <w:tcW w:w="2160" w:type="dxa"/>
            <w:shd w:val="clear" w:color="auto" w:fill="1F3864"/>
          </w:tcPr>
          <w:p w14:paraId="6752D659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均价</w:t>
            </w:r>
          </w:p>
        </w:tc>
      </w:tr>
      <w:tr w14:paraId="47AA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7DB6BAE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西城区</w:t>
            </w:r>
          </w:p>
        </w:tc>
        <w:tc>
          <w:tcPr>
            <w:tcW w:w="2160" w:type="dxa"/>
          </w:tcPr>
          <w:p w14:paraId="1481D9B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120,000+</w:t>
            </w:r>
          </w:p>
        </w:tc>
        <w:tc>
          <w:tcPr>
            <w:tcW w:w="2160" w:type="dxa"/>
          </w:tcPr>
          <w:p w14:paraId="3C36470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朝阳区</w:t>
            </w:r>
          </w:p>
        </w:tc>
        <w:tc>
          <w:tcPr>
            <w:tcW w:w="2160" w:type="dxa"/>
          </w:tcPr>
          <w:p w14:paraId="2677C10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66,963</w:t>
            </w:r>
          </w:p>
        </w:tc>
      </w:tr>
      <w:tr w14:paraId="3DA16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2E878C2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东城区</w:t>
            </w:r>
          </w:p>
        </w:tc>
        <w:tc>
          <w:tcPr>
            <w:tcW w:w="2160" w:type="dxa"/>
            <w:shd w:val="clear" w:color="auto" w:fill="E8EDF5"/>
          </w:tcPr>
          <w:p w14:paraId="3DE9D01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94,740</w:t>
            </w:r>
          </w:p>
        </w:tc>
        <w:tc>
          <w:tcPr>
            <w:tcW w:w="2160" w:type="dxa"/>
            <w:shd w:val="clear" w:color="auto" w:fill="E8EDF5"/>
          </w:tcPr>
          <w:p w14:paraId="1A47D63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丰台区</w:t>
            </w:r>
          </w:p>
        </w:tc>
        <w:tc>
          <w:tcPr>
            <w:tcW w:w="2160" w:type="dxa"/>
            <w:shd w:val="clear" w:color="auto" w:fill="E8EDF5"/>
          </w:tcPr>
          <w:p w14:paraId="65FF71E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54,085</w:t>
            </w:r>
          </w:p>
        </w:tc>
      </w:tr>
      <w:tr w14:paraId="023B6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66A03C5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海淀区</w:t>
            </w:r>
          </w:p>
        </w:tc>
        <w:tc>
          <w:tcPr>
            <w:tcW w:w="2160" w:type="dxa"/>
          </w:tcPr>
          <w:p w14:paraId="5CEF919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79,096</w:t>
            </w:r>
          </w:p>
        </w:tc>
        <w:tc>
          <w:tcPr>
            <w:tcW w:w="2160" w:type="dxa"/>
          </w:tcPr>
          <w:p w14:paraId="3829A3A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石景山区</w:t>
            </w:r>
          </w:p>
        </w:tc>
        <w:tc>
          <w:tcPr>
            <w:tcW w:w="2160" w:type="dxa"/>
          </w:tcPr>
          <w:p w14:paraId="44AFFB2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48,412</w:t>
            </w:r>
          </w:p>
        </w:tc>
      </w:tr>
      <w:tr w14:paraId="03047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20E8C3F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昌平区</w:t>
            </w:r>
          </w:p>
        </w:tc>
        <w:tc>
          <w:tcPr>
            <w:tcW w:w="2160" w:type="dxa"/>
            <w:shd w:val="clear" w:color="auto" w:fill="E8EDF5"/>
          </w:tcPr>
          <w:p w14:paraId="7580330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37,229</w:t>
            </w:r>
          </w:p>
        </w:tc>
        <w:tc>
          <w:tcPr>
            <w:tcW w:w="2160" w:type="dxa"/>
            <w:shd w:val="clear" w:color="auto" w:fill="E8EDF5"/>
          </w:tcPr>
          <w:p w14:paraId="62C292D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通州区</w:t>
            </w:r>
          </w:p>
        </w:tc>
        <w:tc>
          <w:tcPr>
            <w:tcW w:w="2160" w:type="dxa"/>
            <w:shd w:val="clear" w:color="auto" w:fill="E8EDF5"/>
          </w:tcPr>
          <w:p w14:paraId="0A2400B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37,644</w:t>
            </w:r>
          </w:p>
        </w:tc>
      </w:tr>
      <w:tr w14:paraId="4E9D3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1FF80E5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顺义区</w:t>
            </w:r>
          </w:p>
        </w:tc>
        <w:tc>
          <w:tcPr>
            <w:tcW w:w="2160" w:type="dxa"/>
          </w:tcPr>
          <w:p w14:paraId="025CEE9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35,375</w:t>
            </w:r>
          </w:p>
        </w:tc>
        <w:tc>
          <w:tcPr>
            <w:tcW w:w="2160" w:type="dxa"/>
          </w:tcPr>
          <w:p w14:paraId="4A49138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大兴区</w:t>
            </w:r>
          </w:p>
        </w:tc>
        <w:tc>
          <w:tcPr>
            <w:tcW w:w="2160" w:type="dxa"/>
          </w:tcPr>
          <w:p w14:paraId="3FC937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35,088</w:t>
            </w:r>
          </w:p>
        </w:tc>
      </w:tr>
      <w:tr w14:paraId="4D26F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569F3E7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房山区</w:t>
            </w:r>
          </w:p>
        </w:tc>
        <w:tc>
          <w:tcPr>
            <w:tcW w:w="2160" w:type="dxa"/>
            <w:shd w:val="clear" w:color="auto" w:fill="E8EDF5"/>
          </w:tcPr>
          <w:p w14:paraId="76D7524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21,320</w:t>
            </w:r>
          </w:p>
        </w:tc>
        <w:tc>
          <w:tcPr>
            <w:tcW w:w="2160" w:type="dxa"/>
            <w:shd w:val="clear" w:color="auto" w:fill="E8EDF5"/>
          </w:tcPr>
          <w:p w14:paraId="2800620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门头沟区</w:t>
            </w:r>
          </w:p>
        </w:tc>
        <w:tc>
          <w:tcPr>
            <w:tcW w:w="2160" w:type="dxa"/>
            <w:shd w:val="clear" w:color="auto" w:fill="E8EDF5"/>
          </w:tcPr>
          <w:p w14:paraId="029B317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40,217</w:t>
            </w:r>
          </w:p>
        </w:tc>
      </w:tr>
    </w:tbl>
    <w:p w14:paraId="48F54F3C"/>
    <w:p w14:paraId="655669E6">
      <w:pPr>
        <w:shd w:val="clear" w:fill="F0F4F8"/>
        <w:ind w:left="567" w:right="567"/>
      </w:pPr>
      <w:r>
        <w:rPr>
          <w:rFonts w:ascii="微软雅黑" w:hAnsi="微软雅黑" w:eastAsia="微软雅黑"/>
          <w:i/>
          <w:color w:val="444444"/>
          <w:sz w:val="19"/>
        </w:rPr>
        <w:t>▎ 数据来源：安居客2025年12月各区二手房挂牌均价。2024年北京二手房整体挂牌均价同比下跌17.74%，但核心区学区房仍具抗跌性。房价下行周期中，高杠杆购房的外来中产面临"资产缩水+月供不变"的双重压力。</w:t>
      </w:r>
    </w:p>
    <w:p w14:paraId="6DF1274B">
      <w:pPr>
        <w:pStyle w:val="5"/>
      </w:pPr>
      <w:r>
        <w:t>消费与代际分析</w:t>
      </w:r>
    </w:p>
    <w:p w14:paraId="0D1BE2B6">
      <w:pPr>
        <w:ind w:firstLine="420"/>
      </w:pPr>
      <w:r>
        <w:rPr>
          <w:rFonts w:ascii="微软雅黑" w:hAnsi="微软雅黑" w:eastAsia="微软雅黑"/>
          <w:sz w:val="21"/>
        </w:rPr>
        <w:t>普通中产消费呈现典型的"三座大山"结构：房贷（月供1-2.5万）、教育（年支出3-10万）、赡养（月支出2,000-5,000元），三大固定支出占据家庭收入60%-80%，可自由支配空间极为有限。消费降级趋势明显——2024年以来，大量普通中产家庭削减非必要消费，海外旅游降级为国内游，课外培训从一对一大课降级为网课或放弃，餐饮从外出就餐转为家庭烹饪。</w:t>
      </w:r>
    </w:p>
    <w:p w14:paraId="2B6A0780">
      <w:pPr>
        <w:ind w:firstLine="420"/>
      </w:pPr>
      <w:r>
        <w:rPr>
          <w:rFonts w:ascii="微软雅黑" w:hAnsi="微软雅黑" w:eastAsia="微软雅黑"/>
          <w:sz w:val="21"/>
        </w:rPr>
        <w:t>代际传承的核心焦虑在于"向下流动风险"——自身阶层本就依赖双薪维持，子女能否延续同等教育水平、进入同等收入层级的行业，存在巨大不确定性。北京课外培训市场从2021年高峰期超200亿元规模，到2024年已缩水42%，但这并非教育公平改善，而是中产家庭被迫退出竞争——有能力者转向更隐蔽的"一对一"私教，无力者彻底退出，教育竞争从"明面军备竞赛"转为"暗战"。</w:t>
      </w:r>
    </w:p>
    <w:p w14:paraId="5FAC1595">
      <w:pPr>
        <w:pStyle w:val="3"/>
      </w:pPr>
      <w:r>
        <w:t>四、小康工薪与基层体制群体（塔身下段，占比约32%）</w:t>
      </w:r>
    </w:p>
    <w:p w14:paraId="4B214DA9">
      <w:pPr>
        <w:ind w:firstLine="420"/>
      </w:pPr>
      <w:r>
        <w:rPr>
          <w:rFonts w:ascii="微软雅黑" w:hAnsi="微软雅黑" w:eastAsia="微软雅黑"/>
          <w:sz w:val="21"/>
        </w:rPr>
        <w:t>群体构成：基层事业单位编内人员、国企基层职工、普通文职、中小企业职员、刚毕业硕士、小型个体户、持有平房的普通老北京。</w:t>
      </w:r>
    </w:p>
    <w:p w14:paraId="79E97BB1">
      <w:pPr>
        <w:ind w:firstLine="420"/>
      </w:pPr>
      <w:r>
        <w:rPr>
          <w:rFonts w:ascii="微软雅黑" w:hAnsi="微软雅黑" w:eastAsia="微软雅黑"/>
          <w:sz w:val="21"/>
        </w:rPr>
        <w:t>家庭年收入10-30万，净资产100-400万，大量人群无自有住房，长期租房；少量土著持有一套老旧公房，无改善能力。</w:t>
      </w:r>
    </w:p>
    <w:p w14:paraId="5D0452D7">
      <w:pPr>
        <w:pStyle w:val="5"/>
      </w:pPr>
      <w:r>
        <w:t>数据画像</w:t>
      </w:r>
    </w:p>
    <w:p w14:paraId="18F6C13E">
      <w:pPr>
        <w:jc w:val="center"/>
      </w:pPr>
      <w:r>
        <w:rPr>
          <w:rFonts w:ascii="微软雅黑" w:hAnsi="微软雅黑" w:eastAsia="微软雅黑"/>
          <w:b/>
          <w:sz w:val="20"/>
        </w:rPr>
        <w:t>表7 小康工薪阶层核心指标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48CF3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46277A4E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48BBF15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3EDC4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57E45D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家庭年收入</w:t>
            </w:r>
          </w:p>
        </w:tc>
        <w:tc>
          <w:tcPr>
            <w:tcW w:w="4320" w:type="dxa"/>
          </w:tcPr>
          <w:p w14:paraId="01E951A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10-30万</w:t>
            </w:r>
          </w:p>
        </w:tc>
      </w:tr>
      <w:tr w14:paraId="294EF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569D3DA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家庭净资产</w:t>
            </w:r>
          </w:p>
        </w:tc>
        <w:tc>
          <w:tcPr>
            <w:tcW w:w="4320" w:type="dxa"/>
            <w:shd w:val="clear" w:color="auto" w:fill="E8EDF5"/>
          </w:tcPr>
          <w:p w14:paraId="1F149B1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100-400万（房产为主，部分为零）</w:t>
            </w:r>
          </w:p>
        </w:tc>
      </w:tr>
      <w:tr w14:paraId="36C4B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913AA8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住房状况</w:t>
            </w:r>
          </w:p>
        </w:tc>
        <w:tc>
          <w:tcPr>
            <w:tcW w:w="4320" w:type="dxa"/>
          </w:tcPr>
          <w:p w14:paraId="355311B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大量租房，月租金4,000-8,000元</w:t>
            </w:r>
          </w:p>
        </w:tc>
      </w:tr>
      <w:tr w14:paraId="66AE9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1C4866B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居住区域</w:t>
            </w:r>
          </w:p>
        </w:tc>
        <w:tc>
          <w:tcPr>
            <w:tcW w:w="4320" w:type="dxa"/>
            <w:shd w:val="clear" w:color="auto" w:fill="E8EDF5"/>
          </w:tcPr>
          <w:p w14:paraId="7C20468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昌平、通州、大兴、顺义等远郊</w:t>
            </w:r>
          </w:p>
        </w:tc>
      </w:tr>
      <w:tr w14:paraId="4A600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86245F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房贷/房租占收入比</w:t>
            </w:r>
          </w:p>
        </w:tc>
        <w:tc>
          <w:tcPr>
            <w:tcW w:w="4320" w:type="dxa"/>
          </w:tcPr>
          <w:p w14:paraId="046FA4A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30%-50%</w:t>
            </w:r>
          </w:p>
        </w:tc>
      </w:tr>
      <w:tr w14:paraId="5AF42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16A2F15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年教育支出</w:t>
            </w:r>
          </w:p>
        </w:tc>
        <w:tc>
          <w:tcPr>
            <w:tcW w:w="4320" w:type="dxa"/>
            <w:shd w:val="clear" w:color="auto" w:fill="E8EDF5"/>
          </w:tcPr>
          <w:p w14:paraId="12E306D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1-5万（依赖公立学校）</w:t>
            </w:r>
          </w:p>
        </w:tc>
      </w:tr>
      <w:tr w14:paraId="1BDD8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3CF6D0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</w:tcPr>
          <w:p w14:paraId="116CBF0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约700万人（占常住人口约32%）</w:t>
            </w:r>
          </w:p>
        </w:tc>
      </w:tr>
    </w:tbl>
    <w:p w14:paraId="381DE202"/>
    <w:p w14:paraId="5CAC77E6">
      <w:pPr>
        <w:pStyle w:val="5"/>
      </w:pPr>
      <w:r>
        <w:t>子群体细分与生存差异</w:t>
      </w:r>
    </w:p>
    <w:p w14:paraId="50B59EEB">
      <w:pPr>
        <w:ind w:firstLine="420"/>
      </w:pPr>
      <w:r>
        <w:rPr>
          <w:rFonts w:ascii="微软雅黑" w:hAnsi="微软雅黑" w:eastAsia="微软雅黑"/>
          <w:sz w:val="21"/>
        </w:rPr>
        <w:t>该阶层内部差异极大，可细分为四个子群体：基层体制内人员（社保公积金完整、退休有保障，但薪资涨幅缓慢，年增3%-5%，实际购买力受通胀侵蚀）；国企基层职工（福利尚可但薪资偏低，部分企业效益下滑面临降薪裁员）；中小企业白领/刚毕业北漂（收入波动大、社保缴纳不规范，平均工作年限2-3年即跳槽或离开北京）；小型个体户（收入不稳定，旺季月入2-3万但淡季可能亏损，无社保）。四类子群体中，体制内人员的"隐性福利"（公积金、补充医疗、退休金）使其实际生活水平显著高于同等收入的非体制人员——北京2025年企业退休人员人均养老金近5,000元，而灵活就业者按最低基数缴费，退休金仅2,000-3,000元。</w:t>
      </w:r>
    </w:p>
    <w:p w14:paraId="1C02171D">
      <w:pPr>
        <w:pStyle w:val="5"/>
      </w:pPr>
      <w:r>
        <w:t>向上流动通道收窄</w:t>
      </w:r>
    </w:p>
    <w:p w14:paraId="1D221C0D">
      <w:pPr>
        <w:ind w:firstLine="420"/>
      </w:pPr>
      <w:r>
        <w:rPr>
          <w:rFonts w:ascii="微软雅黑" w:hAnsi="微软雅黑" w:eastAsia="微软雅黑"/>
          <w:sz w:val="21"/>
        </w:rPr>
        <w:t>近年北京落户门槛抬高，普通本科很难落户，购房首付门槛持续走高，多数年轻人看不到购房希望。2025年北京积分落户最低分值117.33分，年度名额仅6,002人——而申报人数超10万，录取率不足6%。以典型条件（本科、在京工作8年、有自有住房）测算，积分约90-100分，距分数线仍有近20分差距，需要博士学历或国家级荣誉才能弥补。2022-2025年北京常住人口持续减少，20-35岁常住人口净流出明显，大量人群选择迁居天津、二线城市。</w:t>
      </w:r>
    </w:p>
    <w:p w14:paraId="3E2456CE">
      <w:pPr>
        <w:ind w:firstLine="420"/>
      </w:pPr>
      <w:r>
        <w:rPr>
          <w:rFonts w:ascii="微软雅黑" w:hAnsi="微软雅黑" w:eastAsia="微软雅黑"/>
          <w:sz w:val="21"/>
        </w:rPr>
        <w:t>教育资源获取困难，无力承担高额课外辅导，只能依赖公立普通学校。北京2024年一般公共预算教育经费1,220.66亿元，生均教育经费46,710元，资源总量充沛但分布极不均衡——优质教育资源高度集中在西城、海淀，其他区域与核心区差距显著。</w:t>
      </w:r>
    </w:p>
    <w:p w14:paraId="14F2D1D4">
      <w:pPr>
        <w:pStyle w:val="3"/>
      </w:pPr>
      <w:r>
        <w:t>五、城市服务底层务工阶层（塔底主体，占比约28%）</w:t>
      </w:r>
    </w:p>
    <w:p w14:paraId="56C7E160">
      <w:pPr>
        <w:ind w:firstLine="420"/>
      </w:pPr>
      <w:r>
        <w:rPr>
          <w:rFonts w:ascii="微软雅黑" w:hAnsi="微软雅黑" w:eastAsia="微软雅黑"/>
          <w:sz w:val="21"/>
        </w:rPr>
        <w:t>涵盖外卖骑手、快递员、商超导购、餐饮服务员、家政保洁、装修工人、网约车司机、物业基层员工，以外地农村、县城外来人口为主，大多无北京户籍，不具备购房资格。</w:t>
      </w:r>
    </w:p>
    <w:p w14:paraId="1A8E9C12">
      <w:pPr>
        <w:pStyle w:val="5"/>
      </w:pPr>
      <w:r>
        <w:t>数据画像</w:t>
      </w:r>
    </w:p>
    <w:p w14:paraId="03411DB5">
      <w:pPr>
        <w:jc w:val="center"/>
      </w:pPr>
      <w:r>
        <w:rPr>
          <w:rFonts w:ascii="微软雅黑" w:hAnsi="微软雅黑" w:eastAsia="微软雅黑"/>
          <w:b/>
          <w:sz w:val="20"/>
        </w:rPr>
        <w:t>表8 城市服务务工阶层核心指标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14239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7F1D8D59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408F1B4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03547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7A0755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单人月收入</w:t>
            </w:r>
          </w:p>
        </w:tc>
        <w:tc>
          <w:tcPr>
            <w:tcW w:w="4320" w:type="dxa"/>
          </w:tcPr>
          <w:p w14:paraId="4E0EB65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5,000-12,000元（多劳多得）</w:t>
            </w:r>
          </w:p>
        </w:tc>
      </w:tr>
      <w:tr w14:paraId="13F60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349E906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北京高频骑手月均</w:t>
            </w:r>
          </w:p>
        </w:tc>
        <w:tc>
          <w:tcPr>
            <w:tcW w:w="4320" w:type="dxa"/>
            <w:shd w:val="clear" w:color="auto" w:fill="E8EDF5"/>
          </w:tcPr>
          <w:p w14:paraId="68DC525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约7,600-10,100元</w:t>
            </w:r>
          </w:p>
        </w:tc>
      </w:tr>
      <w:tr w14:paraId="6730C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190CCC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北京乐跑骑手月均</w:t>
            </w:r>
          </w:p>
        </w:tc>
        <w:tc>
          <w:tcPr>
            <w:tcW w:w="4320" w:type="dxa"/>
          </w:tcPr>
          <w:p w14:paraId="1F4B111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约12,593元（2025年Q1）</w:t>
            </w:r>
          </w:p>
        </w:tc>
      </w:tr>
      <w:tr w14:paraId="55ADE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3B46E9D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五险一金</w:t>
            </w:r>
          </w:p>
        </w:tc>
        <w:tc>
          <w:tcPr>
            <w:tcW w:w="4320" w:type="dxa"/>
            <w:shd w:val="clear" w:color="auto" w:fill="E8EDF5"/>
          </w:tcPr>
          <w:p w14:paraId="35C37A9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多数无完整缴纳</w:t>
            </w:r>
          </w:p>
        </w:tc>
      </w:tr>
      <w:tr w14:paraId="6054B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6A59959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居住形态</w:t>
            </w:r>
          </w:p>
        </w:tc>
        <w:tc>
          <w:tcPr>
            <w:tcW w:w="4320" w:type="dxa"/>
          </w:tcPr>
          <w:p w14:paraId="25DD322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城乡结合部合租房、群租房</w:t>
            </w:r>
          </w:p>
        </w:tc>
      </w:tr>
      <w:tr w14:paraId="406B3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2A1C87C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人均居住面积</w:t>
            </w:r>
          </w:p>
        </w:tc>
        <w:tc>
          <w:tcPr>
            <w:tcW w:w="4320" w:type="dxa"/>
            <w:shd w:val="clear" w:color="auto" w:fill="E8EDF5"/>
          </w:tcPr>
          <w:p w14:paraId="154C209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不足5平米</w:t>
            </w:r>
          </w:p>
        </w:tc>
      </w:tr>
      <w:tr w14:paraId="19BE2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0362C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</w:tcPr>
          <w:p w14:paraId="33CFA8B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约610万人（占常住人口约28%）</w:t>
            </w:r>
          </w:p>
        </w:tc>
      </w:tr>
    </w:tbl>
    <w:p w14:paraId="5B18AEC7"/>
    <w:p w14:paraId="055B2BEE">
      <w:pPr>
        <w:pStyle w:val="5"/>
      </w:pPr>
      <w:r>
        <w:t>子群体细分与收入分化</w:t>
      </w:r>
    </w:p>
    <w:p w14:paraId="7E57BAD4">
      <w:pPr>
        <w:ind w:firstLine="420"/>
      </w:pPr>
      <w:r>
        <w:rPr>
          <w:rFonts w:ascii="微软雅黑" w:hAnsi="微软雅黑" w:eastAsia="微软雅黑"/>
          <w:sz w:val="21"/>
        </w:rPr>
        <w:t>该阶层内部收入分化剧烈：技术型蓝领（装修工、水电工、汽车维修）旺季月入1.5-2万，年均收入可达15-20万，超过部分白领；平台劳动者（外卖骑手、快递员、网约车司机）月均7,000-12,000元，但完全依赖出勤天数，无休息日概念；服务业基层（餐饮、商超、保洁）月均4,000-6,000元，收入最低但相对稳定。2026年3月人社部通知全面取消灵活就业人员在就业地参保的户籍限制，外地户口可在北京以灵活就业身份缴纳职工养老和医保——但北京灵活就业养老保险最低缴费基数6,821元，加上医保和失业保险，每月最低缴费超2,000元，年缴2.4万元以上，对月入5,000-8,000元的务工群体而言仍是一笔沉重负担。</w:t>
      </w:r>
    </w:p>
    <w:p w14:paraId="47FF58CC">
      <w:pPr>
        <w:pStyle w:val="5"/>
      </w:pPr>
      <w:r>
        <w:t>社保困境与养老风险</w:t>
      </w:r>
    </w:p>
    <w:p w14:paraId="7DA67908">
      <w:pPr>
        <w:ind w:firstLine="420"/>
      </w:pPr>
      <w:r>
        <w:rPr>
          <w:rFonts w:ascii="微软雅黑" w:hAnsi="微软雅黑" w:eastAsia="微软雅黑"/>
          <w:sz w:val="21"/>
        </w:rPr>
        <w:t>该群体最突出的结构性风险是社保缺失。多数外卖骑手、快递员仅有平台购买的意外险，无养老保险和医疗保险。2024年北京企业退休人员人均养老金近5,000元/月，而城乡居民养老保险基础养老金仅998元/月——前者需要职工养老保险15年以上缴费，后者虽然门槛低但保障水平极低。对于40岁以下的务工者，养老似乎遥远；但对于50岁以上的体力劳动者，身体衰退与收入下降几乎同时到来，社保缺口的后果将在10-15年内集中显现。</w:t>
      </w:r>
    </w:p>
    <w:p w14:paraId="26CC6C91">
      <w:pPr>
        <w:pStyle w:val="5"/>
      </w:pPr>
      <w:r>
        <w:t>政策关注：住房保障与专项供给</w:t>
      </w:r>
    </w:p>
    <w:p w14:paraId="38CBDE90">
      <w:pPr>
        <w:ind w:firstLine="420"/>
      </w:pPr>
      <w:r>
        <w:rPr>
          <w:rFonts w:ascii="微软雅黑" w:hAnsi="微软雅黑" w:eastAsia="微软雅黑"/>
          <w:sz w:val="21"/>
        </w:rPr>
        <w:t>2025年北京市明确6项住房保障重点任务：全年建设筹集保障性租赁住房5万套（间），竣工各类保障性住房8万套（间）；"十四五"时期累计建设筹集保租房40万套（间）目标收官。同时，推进"城市建设者管理者之家"试点，定向对接快递、环卫等城市公共服务人员租赁，满足"一间房、一张床"多元化住房需求。中心城区、平原新城每区提供不少于300套公寓型和宿舍型租赁房源，面向新毕业大学生和城市基本公共服务人员。公租房备案家庭保障率目标从2024年提升至2025年末的85%。</w:t>
      </w:r>
    </w:p>
    <w:p w14:paraId="3515B9F5">
      <w:pPr>
        <w:ind w:firstLine="420"/>
      </w:pPr>
      <w:r>
        <w:rPr>
          <w:rFonts w:ascii="微软雅黑" w:hAnsi="微软雅黑" w:eastAsia="微软雅黑"/>
          <w:sz w:val="21"/>
        </w:rPr>
        <w:t>社会价值与边缘化矛盾：整个城市的餐饮、物流、家政完全依靠该阶层支撑，但他们在教育、医疗、住房公共服务上长期处于弱势，是城市最容易被忽略的基础劳动者。</w:t>
      </w:r>
    </w:p>
    <w:p w14:paraId="5D597FA0">
      <w:pPr>
        <w:pStyle w:val="3"/>
      </w:pPr>
      <w:r>
        <w:t>六、低收入困难群体（塔基底层，占比不足1.5%）</w:t>
      </w:r>
    </w:p>
    <w:p w14:paraId="7EA5A675">
      <w:pPr>
        <w:ind w:firstLine="420"/>
      </w:pPr>
      <w:r>
        <w:rPr>
          <w:rFonts w:ascii="微软雅黑" w:hAnsi="微软雅黑" w:eastAsia="微软雅黑"/>
          <w:sz w:val="21"/>
        </w:rPr>
        <w:t>分为两类：一是本地低保人群、重度残疾、无劳动能力老年土著，依靠低保、养老金维持基本生活，居住老旧胡同公房；二是零工失业者、短期打零工人群，收入极不稳定，长期租住低价简易住房，部分依靠临时救助度日。</w:t>
      </w:r>
    </w:p>
    <w:p w14:paraId="2EE8542F">
      <w:pPr>
        <w:pStyle w:val="5"/>
      </w:pPr>
      <w:r>
        <w:t>数据画像</w:t>
      </w:r>
    </w:p>
    <w:p w14:paraId="5E9BBEBD">
      <w:pPr>
        <w:jc w:val="center"/>
      </w:pPr>
      <w:r>
        <w:rPr>
          <w:rFonts w:ascii="微软雅黑" w:hAnsi="微软雅黑" w:eastAsia="微软雅黑"/>
          <w:b/>
          <w:sz w:val="20"/>
        </w:rPr>
        <w:t>表9 低收入困难群体核心指标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689F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F3864"/>
          </w:tcPr>
          <w:p w14:paraId="5093709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4320" w:type="dxa"/>
            <w:shd w:val="clear" w:color="auto" w:fill="1F3864"/>
          </w:tcPr>
          <w:p w14:paraId="7383F88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指标</w:t>
            </w:r>
          </w:p>
        </w:tc>
      </w:tr>
      <w:tr w14:paraId="78D6F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CA2898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收入来源</w:t>
            </w:r>
          </w:p>
        </w:tc>
        <w:tc>
          <w:tcPr>
            <w:tcW w:w="4320" w:type="dxa"/>
          </w:tcPr>
          <w:p w14:paraId="4B34A37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低保、养老金、零工、临时救助</w:t>
            </w:r>
          </w:p>
        </w:tc>
      </w:tr>
      <w:tr w14:paraId="7B121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2151523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居住形态</w:t>
            </w:r>
          </w:p>
        </w:tc>
        <w:tc>
          <w:tcPr>
            <w:tcW w:w="4320" w:type="dxa"/>
            <w:shd w:val="clear" w:color="auto" w:fill="E8EDF5"/>
          </w:tcPr>
          <w:p w14:paraId="5EC5507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老旧胡同公房、低价简易住房</w:t>
            </w:r>
          </w:p>
        </w:tc>
      </w:tr>
      <w:tr w14:paraId="67FEF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6A8F13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低保标准（2024年）</w:t>
            </w:r>
          </w:p>
        </w:tc>
        <w:tc>
          <w:tcPr>
            <w:tcW w:w="4320" w:type="dxa"/>
          </w:tcPr>
          <w:p w14:paraId="59A70F7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1,395元/月（北京市城镇低保）</w:t>
            </w:r>
          </w:p>
        </w:tc>
      </w:tr>
      <w:tr w14:paraId="1D92A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E8EDF5"/>
          </w:tcPr>
          <w:p w14:paraId="5D3B7A5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主要风险</w:t>
            </w:r>
          </w:p>
        </w:tc>
        <w:tc>
          <w:tcPr>
            <w:tcW w:w="4320" w:type="dxa"/>
            <w:shd w:val="clear" w:color="auto" w:fill="E8EDF5"/>
          </w:tcPr>
          <w:p w14:paraId="1EF140E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大病、养老缺乏保障，收入极不稳定</w:t>
            </w:r>
          </w:p>
        </w:tc>
      </w:tr>
      <w:tr w14:paraId="31FC9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74DBEC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预估人口</w:t>
            </w:r>
          </w:p>
        </w:tc>
        <w:tc>
          <w:tcPr>
            <w:tcW w:w="4320" w:type="dxa"/>
          </w:tcPr>
          <w:p w14:paraId="5C92F51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约30万人（占常住人口不足1.5%）</w:t>
            </w:r>
          </w:p>
        </w:tc>
      </w:tr>
    </w:tbl>
    <w:p w14:paraId="7A53762A"/>
    <w:p w14:paraId="0E8C4D6D">
      <w:pPr>
        <w:pStyle w:val="5"/>
      </w:pPr>
      <w:r>
        <w:t>老龄化对困难群体的放大效应</w:t>
      </w:r>
    </w:p>
    <w:p w14:paraId="058D9287">
      <w:pPr>
        <w:ind w:firstLine="420"/>
      </w:pPr>
      <w:r>
        <w:rPr>
          <w:rFonts w:ascii="微软雅黑" w:hAnsi="微软雅黑" w:eastAsia="微软雅黑"/>
          <w:sz w:val="21"/>
        </w:rPr>
        <w:t>2024年北京60岁及以上常住老年人口514.0万人，占23.5%，一年增加19.2万人；80岁及以上常住人口68.7万人。各区中，西城区老年人口占比最高（30.8%），其次为门头沟（30.6%）和东城（30.4%）。预计"十六五"初期北京将进入重度老龄化社会，本世纪中叶老年人口或超1,000万人。老龄化对困难群体的冲击最为直接：低收入老年人无力承担中高端养老院费用（月费8,000-20,000元），公办养老院床位紧张（全市养老机构577家、床位10.8万张、入住5.2万人），社区居家养老成为唯一选择但服务质量参差不齐。2026年7月1日《北京市养老服务条例》施行，构建区-街道-社区三级养老服务网络，为528.8万常住老年人提供法律保障，但法规落地效果仍需时间检验。</w:t>
      </w:r>
    </w:p>
    <w:p w14:paraId="2F26EFE9">
      <w:pPr>
        <w:ind w:firstLine="420"/>
      </w:pPr>
      <w:r>
        <w:rPr>
          <w:rFonts w:ascii="微软雅黑" w:hAnsi="微软雅黑" w:eastAsia="微软雅黑"/>
          <w:sz w:val="21"/>
        </w:rPr>
        <w:t>北京持续推进老旧小区改造、普惠养老、低保提标，持续缩小底层生存差距。2024年享受城市居民最低生活保障6.8万人，农村低保3.4万人。城镇调查失业率4.1%，全年城镇新增就业29.9万人。</w:t>
      </w:r>
    </w:p>
    <w:p w14:paraId="78E883D0">
      <w:r>
        <w:br w:type="page"/>
      </w:r>
    </w:p>
    <w:p w14:paraId="35DA4ED3">
      <w:pPr>
        <w:pStyle w:val="3"/>
      </w:pPr>
      <w:r>
        <w:t>七、北京阶层分化核心特征与底层逻辑</w:t>
      </w:r>
    </w:p>
    <w:p w14:paraId="7AB3C417">
      <w:pPr>
        <w:pStyle w:val="4"/>
      </w:pPr>
      <w:r>
        <w:t>1. 房产是阶层分割第一标尺</w:t>
      </w:r>
    </w:p>
    <w:p w14:paraId="22ECC333">
      <w:pPr>
        <w:ind w:firstLine="420"/>
      </w:pPr>
      <w:r>
        <w:rPr>
          <w:rFonts w:ascii="微软雅黑" w:hAnsi="微软雅黑" w:eastAsia="微软雅黑"/>
          <w:sz w:val="21"/>
        </w:rPr>
        <w:t>北京与其他城市最大区别：房产资产直接决定阶层安全感。同样家庭年收入50万，无房租房家庭属于小康工薪，持有两套核心学区房无贷家庭直接迈入高阶中产。二环内平房、海淀学区房形成天然财富鸿沟，房价将同收入人群切割为两种生存状态。</w:t>
      </w:r>
    </w:p>
    <w:p w14:paraId="045717EE">
      <w:pPr>
        <w:pStyle w:val="5"/>
      </w:pPr>
      <w:r>
        <w:t>量化对比：同收入不同阶层的资产差异</w:t>
      </w:r>
    </w:p>
    <w:p w14:paraId="74C776E2">
      <w:pPr>
        <w:jc w:val="center"/>
      </w:pPr>
      <w:r>
        <w:rPr>
          <w:rFonts w:ascii="微软雅黑" w:hAnsi="微软雅黑" w:eastAsia="微软雅黑"/>
          <w:b/>
          <w:sz w:val="20"/>
        </w:rPr>
        <w:t>表10 家庭年收入50万的不同阶层画像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78949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1F3864"/>
          </w:tcPr>
          <w:p w14:paraId="7E189D75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2160" w:type="dxa"/>
            <w:shd w:val="clear" w:color="auto" w:fill="1F3864"/>
          </w:tcPr>
          <w:p w14:paraId="1E93D251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无房租房家庭</w:t>
            </w:r>
          </w:p>
        </w:tc>
        <w:tc>
          <w:tcPr>
            <w:tcW w:w="2160" w:type="dxa"/>
            <w:shd w:val="clear" w:color="auto" w:fill="1F3864"/>
          </w:tcPr>
          <w:p w14:paraId="38FC60C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一套近郊房（有贷）</w:t>
            </w:r>
          </w:p>
        </w:tc>
        <w:tc>
          <w:tcPr>
            <w:tcW w:w="2160" w:type="dxa"/>
            <w:shd w:val="clear" w:color="auto" w:fill="1F3864"/>
          </w:tcPr>
          <w:p w14:paraId="5D931283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两套核心区房（无贷）</w:t>
            </w:r>
          </w:p>
        </w:tc>
      </w:tr>
      <w:tr w14:paraId="266DF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3D806C0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家庭年收入</w:t>
            </w:r>
          </w:p>
        </w:tc>
        <w:tc>
          <w:tcPr>
            <w:tcW w:w="2160" w:type="dxa"/>
          </w:tcPr>
          <w:p w14:paraId="6B1BFDA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50万</w:t>
            </w:r>
          </w:p>
        </w:tc>
        <w:tc>
          <w:tcPr>
            <w:tcW w:w="2160" w:type="dxa"/>
          </w:tcPr>
          <w:p w14:paraId="5576292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50万</w:t>
            </w:r>
          </w:p>
        </w:tc>
        <w:tc>
          <w:tcPr>
            <w:tcW w:w="2160" w:type="dxa"/>
          </w:tcPr>
          <w:p w14:paraId="1377FCA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50万</w:t>
            </w:r>
          </w:p>
        </w:tc>
      </w:tr>
      <w:tr w14:paraId="0C1F5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6546182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房产资产</w:t>
            </w:r>
          </w:p>
        </w:tc>
        <w:tc>
          <w:tcPr>
            <w:tcW w:w="2160" w:type="dxa"/>
            <w:shd w:val="clear" w:color="auto" w:fill="E8EDF5"/>
          </w:tcPr>
          <w:p w14:paraId="7EE703B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0</w:t>
            </w:r>
          </w:p>
        </w:tc>
        <w:tc>
          <w:tcPr>
            <w:tcW w:w="2160" w:type="dxa"/>
            <w:shd w:val="clear" w:color="auto" w:fill="E8EDF5"/>
          </w:tcPr>
          <w:p w14:paraId="3A7DFB9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400-600万</w:t>
            </w:r>
          </w:p>
        </w:tc>
        <w:tc>
          <w:tcPr>
            <w:tcW w:w="2160" w:type="dxa"/>
            <w:shd w:val="clear" w:color="auto" w:fill="E8EDF5"/>
          </w:tcPr>
          <w:p w14:paraId="5EE2019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1,500-2,000万</w:t>
            </w:r>
          </w:p>
        </w:tc>
      </w:tr>
      <w:tr w14:paraId="0F9E8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386F8C0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年住房支出</w:t>
            </w:r>
          </w:p>
        </w:tc>
        <w:tc>
          <w:tcPr>
            <w:tcW w:w="2160" w:type="dxa"/>
          </w:tcPr>
          <w:p w14:paraId="2E80B14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8-12万（租金）</w:t>
            </w:r>
          </w:p>
        </w:tc>
        <w:tc>
          <w:tcPr>
            <w:tcW w:w="2160" w:type="dxa"/>
          </w:tcPr>
          <w:p w14:paraId="73F3323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15-25万（月供）</w:t>
            </w:r>
          </w:p>
        </w:tc>
        <w:tc>
          <w:tcPr>
            <w:tcW w:w="2160" w:type="dxa"/>
          </w:tcPr>
          <w:p w14:paraId="794ACEC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0（房租收入+2-3万/月）</w:t>
            </w:r>
          </w:p>
        </w:tc>
      </w:tr>
      <w:tr w14:paraId="3D44A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198E971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年可自由支配</w:t>
            </w:r>
          </w:p>
        </w:tc>
        <w:tc>
          <w:tcPr>
            <w:tcW w:w="2160" w:type="dxa"/>
            <w:shd w:val="clear" w:color="auto" w:fill="E8EDF5"/>
          </w:tcPr>
          <w:p w14:paraId="40F2884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25-30万</w:t>
            </w:r>
          </w:p>
        </w:tc>
        <w:tc>
          <w:tcPr>
            <w:tcW w:w="2160" w:type="dxa"/>
            <w:shd w:val="clear" w:color="auto" w:fill="E8EDF5"/>
          </w:tcPr>
          <w:p w14:paraId="7C903E1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10-15万</w:t>
            </w:r>
          </w:p>
        </w:tc>
        <w:tc>
          <w:tcPr>
            <w:tcW w:w="2160" w:type="dxa"/>
            <w:shd w:val="clear" w:color="auto" w:fill="E8EDF5"/>
          </w:tcPr>
          <w:p w14:paraId="713192D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50-60万</w:t>
            </w:r>
          </w:p>
        </w:tc>
      </w:tr>
      <w:tr w14:paraId="6D865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0AF87A4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抗失业能力</w:t>
            </w:r>
          </w:p>
        </w:tc>
        <w:tc>
          <w:tcPr>
            <w:tcW w:w="2160" w:type="dxa"/>
          </w:tcPr>
          <w:p w14:paraId="4F74BE1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1-3个月</w:t>
            </w:r>
          </w:p>
        </w:tc>
        <w:tc>
          <w:tcPr>
            <w:tcW w:w="2160" w:type="dxa"/>
          </w:tcPr>
          <w:p w14:paraId="5BC8AAA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3-6个月</w:t>
            </w:r>
          </w:p>
        </w:tc>
        <w:tc>
          <w:tcPr>
            <w:tcW w:w="2160" w:type="dxa"/>
          </w:tcPr>
          <w:p w14:paraId="711B138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2年以上</w:t>
            </w:r>
          </w:p>
        </w:tc>
      </w:tr>
      <w:tr w14:paraId="77241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0661E5D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阶层归属</w:t>
            </w:r>
          </w:p>
        </w:tc>
        <w:tc>
          <w:tcPr>
            <w:tcW w:w="2160" w:type="dxa"/>
            <w:shd w:val="clear" w:color="auto" w:fill="E8EDF5"/>
          </w:tcPr>
          <w:p w14:paraId="571D018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</w:t>
            </w:r>
          </w:p>
        </w:tc>
        <w:tc>
          <w:tcPr>
            <w:tcW w:w="2160" w:type="dxa"/>
            <w:shd w:val="clear" w:color="auto" w:fill="E8EDF5"/>
          </w:tcPr>
          <w:p w14:paraId="3939B39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普通中产（负重）</w:t>
            </w:r>
          </w:p>
        </w:tc>
        <w:tc>
          <w:tcPr>
            <w:tcW w:w="2160" w:type="dxa"/>
            <w:shd w:val="clear" w:color="auto" w:fill="E8EDF5"/>
          </w:tcPr>
          <w:p w14:paraId="1C8AEF9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</w:t>
            </w:r>
          </w:p>
        </w:tc>
      </w:tr>
    </w:tbl>
    <w:p w14:paraId="1B1B5B7E"/>
    <w:p w14:paraId="27BEEA9A">
      <w:pPr>
        <w:ind w:firstLine="420"/>
      </w:pPr>
      <w:r>
        <w:rPr>
          <w:rFonts w:ascii="微软雅黑" w:hAnsi="微软雅黑" w:eastAsia="微软雅黑"/>
          <w:sz w:val="21"/>
        </w:rPr>
        <w:t>2024-2025年北京房价经历了一轮显著调整，全市二手房挂牌均价同比下跌约17.74%。但核心区域抗跌性远强于远郊——海淀区2025年12月二手房均价79,096元/㎡，同比跌幅11.16%；而房山区部分区域跌幅超15%，单价已降至2万元/㎡以下。房价分化进一步加剧了阶层固化：核心区房产持有者的资产缩水可控，而远郊高杠杆购房者则面临"资产贬值+月供不变"的双重挤压。</w:t>
      </w:r>
    </w:p>
    <w:p w14:paraId="12A2650E">
      <w:pPr>
        <w:pStyle w:val="4"/>
      </w:pPr>
      <w:r>
        <w:t>2. 户籍与体制是隐形分层壁垒</w:t>
      </w:r>
    </w:p>
    <w:p w14:paraId="17480E6F">
      <w:pPr>
        <w:ind w:firstLine="420"/>
      </w:pPr>
      <w:r>
        <w:rPr>
          <w:rFonts w:ascii="微软雅黑" w:hAnsi="微软雅黑" w:eastAsia="微软雅黑"/>
          <w:sz w:val="21"/>
        </w:rPr>
        <w:t>体制内编制带来完整福利、稳定晋升、医疗教育绿色通道；北京户籍直接绑定购房、子女高考、保障房资格。大量高学历外来人才即便年收入达标中产，无户籍、无房产，仍属于"悬浮中产"，随时面临离开城市的选择。</w:t>
      </w:r>
    </w:p>
    <w:p w14:paraId="18699D4B">
      <w:pPr>
        <w:jc w:val="center"/>
      </w:pPr>
      <w:r>
        <w:rPr>
          <w:rFonts w:ascii="微软雅黑" w:hAnsi="微软雅黑" w:eastAsia="微软雅黑"/>
          <w:b/>
          <w:sz w:val="20"/>
        </w:rPr>
        <w:t>表11 北京户籍人口与外来常住人口对比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  <w:gridCol w:w="2880"/>
      </w:tblGrid>
      <w:tr w14:paraId="01ECC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1F3864"/>
          </w:tcPr>
          <w:p w14:paraId="2274892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2880" w:type="dxa"/>
            <w:shd w:val="clear" w:color="auto" w:fill="1F3864"/>
          </w:tcPr>
          <w:p w14:paraId="1D5BB54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户籍人口</w:t>
            </w:r>
          </w:p>
        </w:tc>
        <w:tc>
          <w:tcPr>
            <w:tcW w:w="2880" w:type="dxa"/>
            <w:shd w:val="clear" w:color="auto" w:fill="1F3864"/>
          </w:tcPr>
          <w:p w14:paraId="7C69432F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外来常住人口</w:t>
            </w:r>
          </w:p>
        </w:tc>
      </w:tr>
      <w:tr w14:paraId="68477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5BF12B4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规模（2024年）</w:t>
            </w:r>
          </w:p>
        </w:tc>
        <w:tc>
          <w:tcPr>
            <w:tcW w:w="2880" w:type="dxa"/>
          </w:tcPr>
          <w:p w14:paraId="2952917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1,438.0万人</w:t>
            </w:r>
          </w:p>
        </w:tc>
        <w:tc>
          <w:tcPr>
            <w:tcW w:w="2880" w:type="dxa"/>
          </w:tcPr>
          <w:p w14:paraId="6600BB7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819.3万人</w:t>
            </w:r>
          </w:p>
        </w:tc>
      </w:tr>
      <w:tr w14:paraId="39C59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5D7C0FD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占比</w:t>
            </w:r>
          </w:p>
        </w:tc>
        <w:tc>
          <w:tcPr>
            <w:tcW w:w="2880" w:type="dxa"/>
            <w:shd w:val="clear" w:color="auto" w:fill="E8EDF5"/>
          </w:tcPr>
          <w:p w14:paraId="553BA2F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62.5%</w:t>
            </w:r>
          </w:p>
        </w:tc>
        <w:tc>
          <w:tcPr>
            <w:tcW w:w="2880" w:type="dxa"/>
            <w:shd w:val="clear" w:color="auto" w:fill="E8EDF5"/>
          </w:tcPr>
          <w:p w14:paraId="1B7AA73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37.5%</w:t>
            </w:r>
          </w:p>
        </w:tc>
      </w:tr>
      <w:tr w14:paraId="0EF97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6C2D730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购房资格</w:t>
            </w:r>
          </w:p>
        </w:tc>
        <w:tc>
          <w:tcPr>
            <w:tcW w:w="2880" w:type="dxa"/>
          </w:tcPr>
          <w:p w14:paraId="0F37925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具备（可购2套）</w:t>
            </w:r>
          </w:p>
        </w:tc>
        <w:tc>
          <w:tcPr>
            <w:tcW w:w="2880" w:type="dxa"/>
          </w:tcPr>
          <w:p w14:paraId="19F91EC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需5年连续社保/个税</w:t>
            </w:r>
          </w:p>
        </w:tc>
      </w:tr>
      <w:tr w14:paraId="5A280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433F7C9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子女高考</w:t>
            </w:r>
          </w:p>
        </w:tc>
        <w:tc>
          <w:tcPr>
            <w:tcW w:w="2880" w:type="dxa"/>
            <w:shd w:val="clear" w:color="auto" w:fill="E8EDF5"/>
          </w:tcPr>
          <w:p w14:paraId="7C5FE07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可在京参加</w:t>
            </w:r>
          </w:p>
        </w:tc>
        <w:tc>
          <w:tcPr>
            <w:tcW w:w="2880" w:type="dxa"/>
            <w:shd w:val="clear" w:color="auto" w:fill="E8EDF5"/>
          </w:tcPr>
          <w:p w14:paraId="2C3AB8D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需满足复杂条件</w:t>
            </w:r>
          </w:p>
        </w:tc>
      </w:tr>
      <w:tr w14:paraId="642FF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65966B4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保障房申请</w:t>
            </w:r>
          </w:p>
        </w:tc>
        <w:tc>
          <w:tcPr>
            <w:tcW w:w="2880" w:type="dxa"/>
          </w:tcPr>
          <w:p w14:paraId="456C412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可申请公租房</w:t>
            </w:r>
          </w:p>
        </w:tc>
        <w:tc>
          <w:tcPr>
            <w:tcW w:w="2880" w:type="dxa"/>
          </w:tcPr>
          <w:p w14:paraId="4C5DF0A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多数项目不开放</w:t>
            </w:r>
          </w:p>
        </w:tc>
      </w:tr>
      <w:tr w14:paraId="6A2DD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42B4A36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公租房租金补贴</w:t>
            </w:r>
          </w:p>
        </w:tc>
        <w:tc>
          <w:tcPr>
            <w:tcW w:w="2880" w:type="dxa"/>
            <w:shd w:val="clear" w:color="auto" w:fill="E8EDF5"/>
          </w:tcPr>
          <w:p w14:paraId="64323AC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可享受阶梯补贴</w:t>
            </w:r>
          </w:p>
        </w:tc>
        <w:tc>
          <w:tcPr>
            <w:tcW w:w="2880" w:type="dxa"/>
            <w:shd w:val="clear" w:color="auto" w:fill="E8EDF5"/>
          </w:tcPr>
          <w:p w14:paraId="50466A1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一般不享受</w:t>
            </w:r>
          </w:p>
        </w:tc>
      </w:tr>
      <w:tr w14:paraId="6D13E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368B2B6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教育资源配置</w:t>
            </w:r>
          </w:p>
        </w:tc>
        <w:tc>
          <w:tcPr>
            <w:tcW w:w="2880" w:type="dxa"/>
          </w:tcPr>
          <w:p w14:paraId="5C395BA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优先进入公立学校</w:t>
            </w:r>
          </w:p>
        </w:tc>
        <w:tc>
          <w:tcPr>
            <w:tcW w:w="2880" w:type="dxa"/>
          </w:tcPr>
          <w:p w14:paraId="2081DBE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需"四证"等复杂门槛</w:t>
            </w:r>
          </w:p>
        </w:tc>
      </w:tr>
    </w:tbl>
    <w:p w14:paraId="394995C3"/>
    <w:p w14:paraId="12A2A4DD">
      <w:pPr>
        <w:ind w:firstLine="420"/>
      </w:pPr>
      <w:r>
        <w:rPr>
          <w:rFonts w:ascii="微软雅黑" w:hAnsi="微软雅黑" w:eastAsia="微软雅黑"/>
          <w:sz w:val="21"/>
        </w:rPr>
        <w:t>积分落户通道极为狭窄：2025年北京积分落户名额6,002人，最低分117.33分，而符合基本条件（本科、在京工作8年、有房）的申报者通常积90-100分，距分数线差距明显。819.3万外来常住人口中，每年仅有6,000人通过积分落户获得户籍，录取率不足0.1%——户籍制度对阶层流动的制约可见一斑。</w:t>
      </w:r>
    </w:p>
    <w:p w14:paraId="27A0521A">
      <w:pPr>
        <w:pStyle w:val="4"/>
      </w:pPr>
      <w:r>
        <w:t>3. 空间居住隔离加剧阶层割裂</w:t>
      </w:r>
    </w:p>
    <w:p w14:paraId="3F8CF2B0">
      <w:pPr>
        <w:ind w:firstLine="420"/>
      </w:pPr>
      <w:r>
        <w:rPr>
          <w:rFonts w:ascii="微软雅黑" w:hAnsi="微软雅黑" w:eastAsia="微软雅黑"/>
          <w:sz w:val="21"/>
        </w:rPr>
        <w:t>社会空间呈现清晰分层：东西城核心区聚集顶层、高阶中产；海淀、朝阳商品房集中普通中产；昌平、顺义、通州是通勤工薪聚集地；大兴、房山城乡结合部容纳务工底层。不同区域人群日常几乎无交集，形成"同城不同世界"的割裂格局。</w:t>
      </w:r>
    </w:p>
    <w:p w14:paraId="1D257249">
      <w:pPr>
        <w:jc w:val="center"/>
      </w:pPr>
      <w:r>
        <w:rPr>
          <w:rFonts w:ascii="微软雅黑" w:hAnsi="微软雅黑" w:eastAsia="微软雅黑"/>
          <w:b/>
          <w:sz w:val="20"/>
        </w:rPr>
        <w:t>表12 北京社会空间分层与房价对照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3084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1F3864"/>
          </w:tcPr>
          <w:p w14:paraId="2F17DEA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社会空间层级</w:t>
            </w:r>
          </w:p>
        </w:tc>
        <w:tc>
          <w:tcPr>
            <w:tcW w:w="2160" w:type="dxa"/>
            <w:shd w:val="clear" w:color="auto" w:fill="1F3864"/>
          </w:tcPr>
          <w:p w14:paraId="1FA512B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区域</w:t>
            </w:r>
          </w:p>
        </w:tc>
        <w:tc>
          <w:tcPr>
            <w:tcW w:w="2160" w:type="dxa"/>
            <w:shd w:val="clear" w:color="auto" w:fill="1F3864"/>
          </w:tcPr>
          <w:p w14:paraId="3F98606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典型房价（元/㎡）</w:t>
            </w:r>
          </w:p>
        </w:tc>
        <w:tc>
          <w:tcPr>
            <w:tcW w:w="2160" w:type="dxa"/>
            <w:shd w:val="clear" w:color="auto" w:fill="1F3864"/>
          </w:tcPr>
          <w:p w14:paraId="3A688F2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主要人群</w:t>
            </w:r>
          </w:p>
        </w:tc>
      </w:tr>
      <w:tr w14:paraId="49B63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7DCDEE2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核心精英区</w:t>
            </w:r>
          </w:p>
        </w:tc>
        <w:tc>
          <w:tcPr>
            <w:tcW w:w="2160" w:type="dxa"/>
          </w:tcPr>
          <w:p w14:paraId="163F817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西城金融街、东城王府井、朝阳CBD</w:t>
            </w:r>
          </w:p>
        </w:tc>
        <w:tc>
          <w:tcPr>
            <w:tcW w:w="2160" w:type="dxa"/>
          </w:tcPr>
          <w:p w14:paraId="062B3F5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100,000-160,000</w:t>
            </w:r>
          </w:p>
        </w:tc>
        <w:tc>
          <w:tcPr>
            <w:tcW w:w="2160" w:type="dxa"/>
          </w:tcPr>
          <w:p w14:paraId="14AF0FE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顶层精英、高阶中产</w:t>
            </w:r>
          </w:p>
        </w:tc>
      </w:tr>
      <w:tr w14:paraId="66328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4785953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改善中产区</w:t>
            </w:r>
          </w:p>
        </w:tc>
        <w:tc>
          <w:tcPr>
            <w:tcW w:w="2160" w:type="dxa"/>
            <w:shd w:val="clear" w:color="auto" w:fill="E8EDF5"/>
          </w:tcPr>
          <w:p w14:paraId="2AA958D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海淀中关村/上地、朝阳望京</w:t>
            </w:r>
          </w:p>
        </w:tc>
        <w:tc>
          <w:tcPr>
            <w:tcW w:w="2160" w:type="dxa"/>
            <w:shd w:val="clear" w:color="auto" w:fill="E8EDF5"/>
          </w:tcPr>
          <w:p w14:paraId="6A3552C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80,000-115,000</w:t>
            </w:r>
          </w:p>
        </w:tc>
        <w:tc>
          <w:tcPr>
            <w:tcW w:w="2160" w:type="dxa"/>
            <w:shd w:val="clear" w:color="auto" w:fill="E8EDF5"/>
          </w:tcPr>
          <w:p w14:paraId="737BE51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高阶中产、普通中产</w:t>
            </w:r>
          </w:p>
        </w:tc>
      </w:tr>
      <w:tr w14:paraId="79F2C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1AB3864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刚需通勤区</w:t>
            </w:r>
          </w:p>
        </w:tc>
        <w:tc>
          <w:tcPr>
            <w:tcW w:w="2160" w:type="dxa"/>
          </w:tcPr>
          <w:p w14:paraId="340F176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昌平回龙观、通州核心区、大兴</w:t>
            </w:r>
          </w:p>
        </w:tc>
        <w:tc>
          <w:tcPr>
            <w:tcW w:w="2160" w:type="dxa"/>
          </w:tcPr>
          <w:p w14:paraId="12B4CF2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35,000-54,000</w:t>
            </w:r>
          </w:p>
        </w:tc>
        <w:tc>
          <w:tcPr>
            <w:tcW w:w="2160" w:type="dxa"/>
          </w:tcPr>
          <w:p w14:paraId="5570B3E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普通中产、小康工薪</w:t>
            </w:r>
          </w:p>
        </w:tc>
      </w:tr>
      <w:tr w14:paraId="6C5E1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5494598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远郊安置区</w:t>
            </w:r>
          </w:p>
        </w:tc>
        <w:tc>
          <w:tcPr>
            <w:tcW w:w="2160" w:type="dxa"/>
            <w:shd w:val="clear" w:color="auto" w:fill="E8EDF5"/>
          </w:tcPr>
          <w:p w14:paraId="1670D7C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房山、门头沟、顺义非别墅区</w:t>
            </w:r>
          </w:p>
        </w:tc>
        <w:tc>
          <w:tcPr>
            <w:tcW w:w="2160" w:type="dxa"/>
            <w:shd w:val="clear" w:color="auto" w:fill="E8EDF5"/>
          </w:tcPr>
          <w:p w14:paraId="2F267E6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21,000-40,000</w:t>
            </w:r>
          </w:p>
        </w:tc>
        <w:tc>
          <w:tcPr>
            <w:tcW w:w="2160" w:type="dxa"/>
            <w:shd w:val="clear" w:color="auto" w:fill="E8EDF5"/>
          </w:tcPr>
          <w:p w14:paraId="4F3B3CA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小康工薪、基层务工</w:t>
            </w:r>
          </w:p>
        </w:tc>
      </w:tr>
      <w:tr w14:paraId="75807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3B52620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城乡结合部</w:t>
            </w:r>
          </w:p>
        </w:tc>
        <w:tc>
          <w:tcPr>
            <w:tcW w:w="2160" w:type="dxa"/>
          </w:tcPr>
          <w:p w14:paraId="5CD4379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大兴南郊、朝阳垡头、丰台南部</w:t>
            </w:r>
          </w:p>
        </w:tc>
        <w:tc>
          <w:tcPr>
            <w:tcW w:w="2160" w:type="dxa"/>
          </w:tcPr>
          <w:p w14:paraId="54AECA7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15,000-25,000</w:t>
            </w:r>
          </w:p>
        </w:tc>
        <w:tc>
          <w:tcPr>
            <w:tcW w:w="2160" w:type="dxa"/>
          </w:tcPr>
          <w:p w14:paraId="61F3F36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务工底层</w:t>
            </w:r>
          </w:p>
        </w:tc>
      </w:tr>
    </w:tbl>
    <w:p w14:paraId="35A1CC23"/>
    <w:p w14:paraId="79FA6AE7">
      <w:pPr>
        <w:ind w:firstLine="420"/>
      </w:pPr>
      <w:r>
        <w:rPr>
          <w:rFonts w:ascii="微软雅黑" w:hAnsi="微软雅黑" w:eastAsia="微软雅黑"/>
          <w:sz w:val="21"/>
        </w:rPr>
        <w:t>环京通勤圈进一步延伸了这一空间分层。据统计，全国超400万人跨城通勤，其中约20万北上广深"打工人"平均单程通勤距离52.6公里、耗时153分钟。北京通勤半径达42公里，居全国之首。环京每天约75万人往返于北京与河北、天津之间——"住在环京几十万的房子里，挣着北京万八千的工资"的双城生活，恰恰折射出城市住房可及性的阶层壁垒。</w:t>
      </w:r>
    </w:p>
    <w:p w14:paraId="062A4006">
      <w:pPr>
        <w:pStyle w:val="4"/>
      </w:pPr>
      <w:r>
        <w:t>4. 阶层流动难度持续提升</w:t>
      </w:r>
    </w:p>
    <w:p w14:paraId="41DE19DF">
      <w:pPr>
        <w:ind w:firstLine="420"/>
      </w:pPr>
      <w:r>
        <w:rPr>
          <w:rFonts w:ascii="微软雅黑" w:hAnsi="微软雅黑" w:eastAsia="微软雅黑"/>
          <w:sz w:val="21"/>
        </w:rPr>
        <w:t>十年前，名校毕业、互联网行业红利可快速实现阶层跃升；2026年，行业收缩、房价高企、落户收紧，向上流动通道收窄。底层务工者几乎很难扎根；普通中产向上突破至高阶中产需要两代人积累；仅少数顶尖专业人才、创业者能实现跨层级跃迁，阶层固化趋势显现。</w:t>
      </w:r>
    </w:p>
    <w:p w14:paraId="76702AC8">
      <w:pPr>
        <w:jc w:val="center"/>
      </w:pPr>
      <w:r>
        <w:rPr>
          <w:rFonts w:ascii="微软雅黑" w:hAnsi="微软雅黑" w:eastAsia="微软雅黑"/>
          <w:b/>
          <w:sz w:val="20"/>
        </w:rPr>
        <w:t>表13 北京主要阶层跃升通道变化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  <w:gridCol w:w="2880"/>
      </w:tblGrid>
      <w:tr w14:paraId="1AFCF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1F3864"/>
          </w:tcPr>
          <w:p w14:paraId="508ED51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跃升路径</w:t>
            </w:r>
          </w:p>
        </w:tc>
        <w:tc>
          <w:tcPr>
            <w:tcW w:w="2880" w:type="dxa"/>
            <w:shd w:val="clear" w:color="auto" w:fill="1F3864"/>
          </w:tcPr>
          <w:p w14:paraId="37651F6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2015年前后</w:t>
            </w:r>
          </w:p>
        </w:tc>
        <w:tc>
          <w:tcPr>
            <w:tcW w:w="2880" w:type="dxa"/>
            <w:shd w:val="clear" w:color="auto" w:fill="1F3864"/>
          </w:tcPr>
          <w:p w14:paraId="70F9BB56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2026年现状</w:t>
            </w:r>
          </w:p>
        </w:tc>
      </w:tr>
      <w:tr w14:paraId="534B0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7FA99DE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互联网行业红利</w:t>
            </w:r>
          </w:p>
        </w:tc>
        <w:tc>
          <w:tcPr>
            <w:tcW w:w="2880" w:type="dxa"/>
          </w:tcPr>
          <w:p w14:paraId="34212EE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快速通道，3-5年可达高薪</w:t>
            </w:r>
          </w:p>
        </w:tc>
        <w:tc>
          <w:tcPr>
            <w:tcW w:w="2880" w:type="dxa"/>
          </w:tcPr>
          <w:p w14:paraId="08FD37A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行业收缩，35岁危机，裁员率42%</w:t>
            </w:r>
          </w:p>
        </w:tc>
      </w:tr>
      <w:tr w14:paraId="31D3C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3EDFF40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名校学历落户</w:t>
            </w:r>
          </w:p>
        </w:tc>
        <w:tc>
          <w:tcPr>
            <w:tcW w:w="2880" w:type="dxa"/>
            <w:shd w:val="clear" w:color="auto" w:fill="E8EDF5"/>
          </w:tcPr>
          <w:p w14:paraId="5DDCD15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985硕士可落户</w:t>
            </w:r>
          </w:p>
        </w:tc>
        <w:tc>
          <w:tcPr>
            <w:tcW w:w="2880" w:type="dxa"/>
            <w:shd w:val="clear" w:color="auto" w:fill="E8EDF5"/>
          </w:tcPr>
          <w:p w14:paraId="1F98A9C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积分落户竞争激烈，录取率&lt;0.1%</w:t>
            </w:r>
          </w:p>
        </w:tc>
      </w:tr>
      <w:tr w14:paraId="49CD1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2CDE42B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购房资产增值</w:t>
            </w:r>
          </w:p>
        </w:tc>
        <w:tc>
          <w:tcPr>
            <w:tcW w:w="2880" w:type="dxa"/>
          </w:tcPr>
          <w:p w14:paraId="0DE9317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房价持续上涨，资产翻倍</w:t>
            </w:r>
          </w:p>
        </w:tc>
        <w:tc>
          <w:tcPr>
            <w:tcW w:w="2880" w:type="dxa"/>
          </w:tcPr>
          <w:p w14:paraId="5501DA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房价下行调整，杠杆风险加大</w:t>
            </w:r>
          </w:p>
        </w:tc>
      </w:tr>
      <w:tr w14:paraId="02253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1A2580D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体制内晋升</w:t>
            </w:r>
          </w:p>
        </w:tc>
        <w:tc>
          <w:tcPr>
            <w:tcW w:w="2880" w:type="dxa"/>
            <w:shd w:val="clear" w:color="auto" w:fill="E8EDF5"/>
          </w:tcPr>
          <w:p w14:paraId="485879F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通道较清晰</w:t>
            </w:r>
          </w:p>
        </w:tc>
        <w:tc>
          <w:tcPr>
            <w:tcW w:w="2880" w:type="dxa"/>
            <w:shd w:val="clear" w:color="auto" w:fill="E8EDF5"/>
          </w:tcPr>
          <w:p w14:paraId="4755BA5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晋升名额稀缺，天花板明显</w:t>
            </w:r>
          </w:p>
        </w:tc>
      </w:tr>
      <w:tr w14:paraId="0F13C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6906D12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教育代际跃升</w:t>
            </w:r>
          </w:p>
        </w:tc>
        <w:tc>
          <w:tcPr>
            <w:tcW w:w="2880" w:type="dxa"/>
          </w:tcPr>
          <w:p w14:paraId="5CBAAA5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课外培训+学区房有效</w:t>
            </w:r>
          </w:p>
        </w:tc>
        <w:tc>
          <w:tcPr>
            <w:tcW w:w="2880" w:type="dxa"/>
          </w:tcPr>
          <w:p w14:paraId="3D7B43A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双减政策+学区房降温，但优质资源仍集中</w:t>
            </w:r>
          </w:p>
        </w:tc>
      </w:tr>
      <w:tr w14:paraId="1BB55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shd w:val="clear" w:color="auto" w:fill="E8EDF5"/>
          </w:tcPr>
          <w:p w14:paraId="14A839B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创业突破</w:t>
            </w:r>
          </w:p>
        </w:tc>
        <w:tc>
          <w:tcPr>
            <w:tcW w:w="2880" w:type="dxa"/>
            <w:shd w:val="clear" w:color="auto" w:fill="E8EDF5"/>
          </w:tcPr>
          <w:p w14:paraId="17B21FF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移动互联网风口</w:t>
            </w:r>
          </w:p>
        </w:tc>
        <w:tc>
          <w:tcPr>
            <w:tcW w:w="2880" w:type="dxa"/>
            <w:shd w:val="clear" w:color="auto" w:fill="E8EDF5"/>
          </w:tcPr>
          <w:p w14:paraId="398A1D0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AI等新赛道门槛极高，资本密集</w:t>
            </w:r>
          </w:p>
        </w:tc>
      </w:tr>
    </w:tbl>
    <w:p w14:paraId="13AB09DD"/>
    <w:p w14:paraId="63846574">
      <w:pPr>
        <w:pStyle w:val="4"/>
      </w:pPr>
      <w:r>
        <w:t>5. 教育分化的代际效应</w:t>
      </w:r>
    </w:p>
    <w:p w14:paraId="30ECBEF5">
      <w:pPr>
        <w:ind w:firstLine="420"/>
      </w:pPr>
      <w:r>
        <w:rPr>
          <w:rFonts w:ascii="微软雅黑" w:hAnsi="微软雅黑" w:eastAsia="微软雅黑"/>
          <w:sz w:val="21"/>
        </w:rPr>
        <w:t>教育曾是中国社会最重要的阶层流动通道，但在北京，教育本身已深度阶层化。2024年北京一般公共预算教育经费1,220.66亿元，生均46,710元，但优质教育资源高度集中于少数核心学区。据行业数据，北京海淀家庭年均教育支出在2021年曾高达15-25万元，2024年已下降42%，但这更多反映的是中产家庭消费降级，而非教育公平的改善——有能力者转向更隐蔽的"一对一"辅导，无力者则完全退出竞争。养育一个孩子从出生到大学毕业的平均成本在一线城市已突破200万元，教育支出占比50%-70%，这一数字本身就是阶层再生产的量化注脚。</w:t>
      </w:r>
    </w:p>
    <w:p w14:paraId="238FA171">
      <w:pPr>
        <w:jc w:val="center"/>
      </w:pPr>
      <w:r>
        <w:rPr>
          <w:rFonts w:ascii="微软雅黑" w:hAnsi="微软雅黑" w:eastAsia="微软雅黑"/>
          <w:b/>
          <w:sz w:val="20"/>
        </w:rPr>
        <w:t>表14 不同阶层教育投入与子女预期对比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36526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1F3864"/>
          </w:tcPr>
          <w:p w14:paraId="0A55C7A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阶层</w:t>
            </w:r>
          </w:p>
        </w:tc>
        <w:tc>
          <w:tcPr>
            <w:tcW w:w="2160" w:type="dxa"/>
            <w:shd w:val="clear" w:color="auto" w:fill="1F3864"/>
          </w:tcPr>
          <w:p w14:paraId="5A995237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年均教育支出</w:t>
            </w:r>
          </w:p>
        </w:tc>
        <w:tc>
          <w:tcPr>
            <w:tcW w:w="2160" w:type="dxa"/>
            <w:shd w:val="clear" w:color="auto" w:fill="1F3864"/>
          </w:tcPr>
          <w:p w14:paraId="2ABE4FD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典型路径</w:t>
            </w:r>
          </w:p>
        </w:tc>
        <w:tc>
          <w:tcPr>
            <w:tcW w:w="2160" w:type="dxa"/>
            <w:shd w:val="clear" w:color="auto" w:fill="1F3864"/>
          </w:tcPr>
          <w:p w14:paraId="4811AAF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子女阶层预期</w:t>
            </w:r>
          </w:p>
        </w:tc>
      </w:tr>
      <w:tr w14:paraId="1FAE7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3313DEB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顶层精英</w:t>
            </w:r>
          </w:p>
        </w:tc>
        <w:tc>
          <w:tcPr>
            <w:tcW w:w="2160" w:type="dxa"/>
          </w:tcPr>
          <w:p w14:paraId="5D31B2F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20-50万</w:t>
            </w:r>
          </w:p>
        </w:tc>
        <w:tc>
          <w:tcPr>
            <w:tcW w:w="2160" w:type="dxa"/>
          </w:tcPr>
          <w:p w14:paraId="503B231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国际学校→海外名校</w:t>
            </w:r>
          </w:p>
        </w:tc>
        <w:tc>
          <w:tcPr>
            <w:tcW w:w="2160" w:type="dxa"/>
          </w:tcPr>
          <w:p w14:paraId="0A090B0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大概率维持顶层</w:t>
            </w:r>
          </w:p>
        </w:tc>
      </w:tr>
      <w:tr w14:paraId="3A422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6B470E8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</w:t>
            </w:r>
          </w:p>
        </w:tc>
        <w:tc>
          <w:tcPr>
            <w:tcW w:w="2160" w:type="dxa"/>
            <w:shd w:val="clear" w:color="auto" w:fill="E8EDF5"/>
          </w:tcPr>
          <w:p w14:paraId="3654AFB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10-30万</w:t>
            </w:r>
          </w:p>
        </w:tc>
        <w:tc>
          <w:tcPr>
            <w:tcW w:w="2160" w:type="dxa"/>
            <w:shd w:val="clear" w:color="auto" w:fill="E8EDF5"/>
          </w:tcPr>
          <w:p w14:paraId="1FE93DC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顶尖公立/国际部→985/海外</w:t>
            </w:r>
          </w:p>
        </w:tc>
        <w:tc>
          <w:tcPr>
            <w:tcW w:w="2160" w:type="dxa"/>
            <w:shd w:val="clear" w:color="auto" w:fill="E8EDF5"/>
          </w:tcPr>
          <w:p w14:paraId="2219870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大概率维持中产+</w:t>
            </w:r>
          </w:p>
        </w:tc>
      </w:tr>
      <w:tr w14:paraId="1FDA5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55D1C35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</w:t>
            </w:r>
          </w:p>
        </w:tc>
        <w:tc>
          <w:tcPr>
            <w:tcW w:w="2160" w:type="dxa"/>
          </w:tcPr>
          <w:p w14:paraId="06B9763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3-10万</w:t>
            </w:r>
          </w:p>
        </w:tc>
        <w:tc>
          <w:tcPr>
            <w:tcW w:w="2160" w:type="dxa"/>
          </w:tcPr>
          <w:p w14:paraId="1121304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公立学校+课外培训→211/985</w:t>
            </w:r>
          </w:p>
        </w:tc>
        <w:tc>
          <w:tcPr>
            <w:tcW w:w="2160" w:type="dxa"/>
          </w:tcPr>
          <w:p w14:paraId="37C90E1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有概率维持，存在滑落风险</w:t>
            </w:r>
          </w:p>
        </w:tc>
      </w:tr>
      <w:tr w14:paraId="1EE5F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E8EDF5"/>
          </w:tcPr>
          <w:p w14:paraId="45E9C56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</w:t>
            </w:r>
          </w:p>
        </w:tc>
        <w:tc>
          <w:tcPr>
            <w:tcW w:w="2160" w:type="dxa"/>
            <w:shd w:val="clear" w:color="auto" w:fill="E8EDF5"/>
          </w:tcPr>
          <w:p w14:paraId="1480942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1-5万</w:t>
            </w:r>
          </w:p>
        </w:tc>
        <w:tc>
          <w:tcPr>
            <w:tcW w:w="2160" w:type="dxa"/>
            <w:shd w:val="clear" w:color="auto" w:fill="E8EDF5"/>
          </w:tcPr>
          <w:p w14:paraId="32E8893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公立学校→普通本科/高职</w:t>
            </w:r>
          </w:p>
        </w:tc>
        <w:tc>
          <w:tcPr>
            <w:tcW w:w="2160" w:type="dxa"/>
            <w:shd w:val="clear" w:color="auto" w:fill="E8EDF5"/>
          </w:tcPr>
          <w:p w14:paraId="061C518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大概率维持工薪，跃升困难</w:t>
            </w:r>
          </w:p>
        </w:tc>
      </w:tr>
      <w:tr w14:paraId="15E32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2B36589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务工底层</w:t>
            </w:r>
          </w:p>
        </w:tc>
        <w:tc>
          <w:tcPr>
            <w:tcW w:w="2160" w:type="dxa"/>
          </w:tcPr>
          <w:p w14:paraId="29E497E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0.5-2万</w:t>
            </w:r>
          </w:p>
        </w:tc>
        <w:tc>
          <w:tcPr>
            <w:tcW w:w="2160" w:type="dxa"/>
          </w:tcPr>
          <w:p w14:paraId="26DAAAC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老家学校→高中/中职</w:t>
            </w:r>
          </w:p>
        </w:tc>
        <w:tc>
          <w:tcPr>
            <w:tcW w:w="2160" w:type="dxa"/>
          </w:tcPr>
          <w:p w14:paraId="2586A15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大概率继续务工，代际循环</w:t>
            </w:r>
          </w:p>
        </w:tc>
      </w:tr>
    </w:tbl>
    <w:p w14:paraId="1C5C05B3"/>
    <w:p w14:paraId="4C7A980B">
      <w:pPr>
        <w:pStyle w:val="4"/>
      </w:pPr>
      <w:r>
        <w:t>6. 医疗资源获取的阶层差异</w:t>
      </w:r>
    </w:p>
    <w:p w14:paraId="4ED282A8">
      <w:pPr>
        <w:ind w:firstLine="420"/>
      </w:pPr>
      <w:r>
        <w:rPr>
          <w:rFonts w:ascii="微软雅黑" w:hAnsi="微软雅黑" w:eastAsia="微软雅黑"/>
          <w:sz w:val="21"/>
        </w:rPr>
        <w:t>北京是全国医疗资源最集中的城市，2025年全市医疗卫生机构11,994个，其中医院782个、三级医院142个，每千常住人口执业医师6.34人、注册护士7.17人、实有床位6.61张。但优质医疗资源高度集中在五环内，尤其是海淀、西城、东城三区的三甲医院最多，而沙河、良乡、亦庄等远郊地区优质医疗资源严重匮乏。</w:t>
      </w:r>
    </w:p>
    <w:p w14:paraId="22688B76">
      <w:pPr>
        <w:jc w:val="center"/>
      </w:pPr>
      <w:r>
        <w:rPr>
          <w:rFonts w:ascii="微软雅黑" w:hAnsi="微软雅黑" w:eastAsia="微软雅黑"/>
          <w:b/>
          <w:sz w:val="20"/>
        </w:rPr>
        <w:t>表15 北京医疗资源获取的阶层差异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728"/>
        <w:gridCol w:w="1728"/>
        <w:gridCol w:w="1728"/>
        <w:gridCol w:w="1728"/>
      </w:tblGrid>
      <w:tr w14:paraId="4A57B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1F3864"/>
          </w:tcPr>
          <w:p w14:paraId="2C034EC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阶层</w:t>
            </w:r>
          </w:p>
        </w:tc>
        <w:tc>
          <w:tcPr>
            <w:tcW w:w="1728" w:type="dxa"/>
            <w:shd w:val="clear" w:color="auto" w:fill="1F3864"/>
          </w:tcPr>
          <w:p w14:paraId="537D4ADC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就医方式</w:t>
            </w:r>
          </w:p>
        </w:tc>
        <w:tc>
          <w:tcPr>
            <w:tcW w:w="1728" w:type="dxa"/>
            <w:shd w:val="clear" w:color="auto" w:fill="1F3864"/>
          </w:tcPr>
          <w:p w14:paraId="32196A5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典型医院</w:t>
            </w:r>
          </w:p>
        </w:tc>
        <w:tc>
          <w:tcPr>
            <w:tcW w:w="1728" w:type="dxa"/>
            <w:shd w:val="clear" w:color="auto" w:fill="1F3864"/>
          </w:tcPr>
          <w:p w14:paraId="2A20450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等待时间</w:t>
            </w:r>
          </w:p>
        </w:tc>
        <w:tc>
          <w:tcPr>
            <w:tcW w:w="1728" w:type="dxa"/>
            <w:shd w:val="clear" w:color="auto" w:fill="1F3864"/>
          </w:tcPr>
          <w:p w14:paraId="1E9E282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费用承担</w:t>
            </w:r>
          </w:p>
        </w:tc>
      </w:tr>
      <w:tr w14:paraId="4C75E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7A2AC88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顶层精英</w:t>
            </w:r>
          </w:p>
        </w:tc>
        <w:tc>
          <w:tcPr>
            <w:tcW w:w="1728" w:type="dxa"/>
          </w:tcPr>
          <w:p w14:paraId="28AB71D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私立医院/VIP通道</w:t>
            </w:r>
          </w:p>
        </w:tc>
        <w:tc>
          <w:tcPr>
            <w:tcW w:w="1728" w:type="dxa"/>
          </w:tcPr>
          <w:p w14:paraId="72071AA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和睦家、协和国际部</w:t>
            </w:r>
          </w:p>
        </w:tc>
        <w:tc>
          <w:tcPr>
            <w:tcW w:w="1728" w:type="dxa"/>
          </w:tcPr>
          <w:p w14:paraId="2871366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预约即诊</w:t>
            </w:r>
          </w:p>
        </w:tc>
        <w:tc>
          <w:tcPr>
            <w:tcW w:w="1728" w:type="dxa"/>
          </w:tcPr>
          <w:p w14:paraId="6966362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商保全额覆盖</w:t>
            </w:r>
          </w:p>
        </w:tc>
      </w:tr>
      <w:tr w14:paraId="1CDBD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436AB98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</w:t>
            </w:r>
          </w:p>
        </w:tc>
        <w:tc>
          <w:tcPr>
            <w:tcW w:w="1728" w:type="dxa"/>
            <w:shd w:val="clear" w:color="auto" w:fill="E8EDF5"/>
          </w:tcPr>
          <w:p w14:paraId="2A19C83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三甲特需/国际部</w:t>
            </w:r>
          </w:p>
        </w:tc>
        <w:tc>
          <w:tcPr>
            <w:tcW w:w="1728" w:type="dxa"/>
            <w:shd w:val="clear" w:color="auto" w:fill="E8EDF5"/>
          </w:tcPr>
          <w:p w14:paraId="734EF03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协和特需、北医三院特需</w:t>
            </w:r>
          </w:p>
        </w:tc>
        <w:tc>
          <w:tcPr>
            <w:tcW w:w="1728" w:type="dxa"/>
            <w:shd w:val="clear" w:color="auto" w:fill="E8EDF5"/>
          </w:tcPr>
          <w:p w14:paraId="7994607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1-3天</w:t>
            </w:r>
          </w:p>
        </w:tc>
        <w:tc>
          <w:tcPr>
            <w:tcW w:w="1728" w:type="dxa"/>
            <w:shd w:val="clear" w:color="auto" w:fill="E8EDF5"/>
          </w:tcPr>
          <w:p w14:paraId="0370D71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商保+自付</w:t>
            </w:r>
          </w:p>
        </w:tc>
      </w:tr>
      <w:tr w14:paraId="0FB23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2E95284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</w:t>
            </w:r>
          </w:p>
        </w:tc>
        <w:tc>
          <w:tcPr>
            <w:tcW w:w="1728" w:type="dxa"/>
          </w:tcPr>
          <w:p w14:paraId="17371F5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三甲普通门诊</w:t>
            </w:r>
          </w:p>
        </w:tc>
        <w:tc>
          <w:tcPr>
            <w:tcW w:w="1728" w:type="dxa"/>
          </w:tcPr>
          <w:p w14:paraId="7DF4930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北医三院、友谊医院</w:t>
            </w:r>
          </w:p>
        </w:tc>
        <w:tc>
          <w:tcPr>
            <w:tcW w:w="1728" w:type="dxa"/>
          </w:tcPr>
          <w:p w14:paraId="4D030D4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1-2周</w:t>
            </w:r>
          </w:p>
        </w:tc>
        <w:tc>
          <w:tcPr>
            <w:tcW w:w="1728" w:type="dxa"/>
          </w:tcPr>
          <w:p w14:paraId="317440F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医保+自付</w:t>
            </w:r>
          </w:p>
        </w:tc>
      </w:tr>
      <w:tr w14:paraId="3894A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1152D0A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</w:t>
            </w:r>
          </w:p>
        </w:tc>
        <w:tc>
          <w:tcPr>
            <w:tcW w:w="1728" w:type="dxa"/>
            <w:shd w:val="clear" w:color="auto" w:fill="E8EDF5"/>
          </w:tcPr>
          <w:p w14:paraId="188FEB7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社区医院+三甲普通</w:t>
            </w:r>
          </w:p>
        </w:tc>
        <w:tc>
          <w:tcPr>
            <w:tcW w:w="1728" w:type="dxa"/>
            <w:shd w:val="clear" w:color="auto" w:fill="E8EDF5"/>
          </w:tcPr>
          <w:p w14:paraId="0760C9D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社区卫生中心+区级医院</w:t>
            </w:r>
          </w:p>
        </w:tc>
        <w:tc>
          <w:tcPr>
            <w:tcW w:w="1728" w:type="dxa"/>
            <w:shd w:val="clear" w:color="auto" w:fill="E8EDF5"/>
          </w:tcPr>
          <w:p w14:paraId="1DD4489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社区当天/三甲2-4周</w:t>
            </w:r>
          </w:p>
        </w:tc>
        <w:tc>
          <w:tcPr>
            <w:tcW w:w="1728" w:type="dxa"/>
            <w:shd w:val="clear" w:color="auto" w:fill="E8EDF5"/>
          </w:tcPr>
          <w:p w14:paraId="3087531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医保为主</w:t>
            </w:r>
          </w:p>
        </w:tc>
      </w:tr>
      <w:tr w14:paraId="59D58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135B010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务工底层</w:t>
            </w:r>
          </w:p>
        </w:tc>
        <w:tc>
          <w:tcPr>
            <w:tcW w:w="1728" w:type="dxa"/>
          </w:tcPr>
          <w:p w14:paraId="4544D29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社区医院/老家就医</w:t>
            </w:r>
          </w:p>
        </w:tc>
        <w:tc>
          <w:tcPr>
            <w:tcW w:w="1728" w:type="dxa"/>
          </w:tcPr>
          <w:p w14:paraId="430B1B7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社区卫生中心/回原籍</w:t>
            </w:r>
          </w:p>
        </w:tc>
        <w:tc>
          <w:tcPr>
            <w:tcW w:w="1728" w:type="dxa"/>
          </w:tcPr>
          <w:p w14:paraId="2E3BA14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当天/返乡</w:t>
            </w:r>
          </w:p>
        </w:tc>
        <w:tc>
          <w:tcPr>
            <w:tcW w:w="1728" w:type="dxa"/>
          </w:tcPr>
          <w:p w14:paraId="2A6CC2D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新农合/自付</w:t>
            </w:r>
          </w:p>
        </w:tc>
      </w:tr>
    </w:tbl>
    <w:p w14:paraId="19C78B9B"/>
    <w:p w14:paraId="27866542">
      <w:pPr>
        <w:ind w:firstLine="420"/>
      </w:pPr>
      <w:r>
        <w:rPr>
          <w:rFonts w:ascii="微软雅黑" w:hAnsi="微软雅黑" w:eastAsia="微软雅黑"/>
          <w:sz w:val="21"/>
        </w:rPr>
        <w:t>2024年北京市二级以上公立医院门诊患者次均医药费697.4元，住院患者人均医药费用22.9万元——对于年可支配收入不足5万的务工者而言，一次住院费用即相当于2-3年全部收入。跨省异地就医直接结算虽在推进（2025年末住院费用跨省直接结算率目标70%以上），但大量外来务工者的医保关系在原籍，北京就医仍面临报销比例低、垫付压力大等障碍。北京在2024年推进三级公立医院50%门诊预约号源提前向基层医疗卫生机构投放，二三级医院和基层医疗机构的上下转诊量同比分别增长16.4%和133.2%，但优质医疗资源的"可及性"与"可获得性"仍是两个不同层次的命题。</w:t>
      </w:r>
    </w:p>
    <w:p w14:paraId="33179A9F">
      <w:pPr>
        <w:pStyle w:val="4"/>
      </w:pPr>
      <w:r>
        <w:t>7. 消费分化与阶层焦虑</w:t>
      </w:r>
    </w:p>
    <w:p w14:paraId="5DEEE22A">
      <w:pPr>
        <w:ind w:firstLine="420"/>
      </w:pPr>
      <w:r>
        <w:rPr>
          <w:rFonts w:ascii="微软雅黑" w:hAnsi="微软雅黑" w:eastAsia="微软雅黑"/>
          <w:sz w:val="21"/>
        </w:rPr>
        <w:t>2024年北京居民人均消费支出49,748元，恩格尔系数降至20.4%，服务性消费占比58.6%，从数字看消费结构已进入"发展享受型"阶段。但均值掩盖了严重分化：顶层精英的消费已脱离功能性需求，转向身份标识与圈层认同；高阶中产消费高投入、高焦虑，教育医疗养老三大支出挤压其他消费；普通中产消费降级趋势明显，"该省省该花花"成为主流心态；小康工薪收入仅覆盖基础消费，储蓄空间极小；务工底层压缩一切非必要消费，恩格尔系数远高于全市均值。</w:t>
      </w:r>
    </w:p>
    <w:p w14:paraId="0D4B9F59">
      <w:pPr>
        <w:jc w:val="center"/>
      </w:pPr>
      <w:r>
        <w:rPr>
          <w:rFonts w:ascii="微软雅黑" w:hAnsi="微软雅黑" w:eastAsia="微软雅黑"/>
          <w:b/>
          <w:sz w:val="20"/>
        </w:rPr>
        <w:t>表16 不同阶层消费结构与焦虑特征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728"/>
        <w:gridCol w:w="1728"/>
        <w:gridCol w:w="1728"/>
        <w:gridCol w:w="1728"/>
      </w:tblGrid>
      <w:tr w14:paraId="3BA27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1F3864"/>
          </w:tcPr>
          <w:p w14:paraId="210AC910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阶层</w:t>
            </w:r>
          </w:p>
        </w:tc>
        <w:tc>
          <w:tcPr>
            <w:tcW w:w="1728" w:type="dxa"/>
            <w:shd w:val="clear" w:color="auto" w:fill="1F3864"/>
          </w:tcPr>
          <w:p w14:paraId="229786E2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年均家庭消费</w:t>
            </w:r>
          </w:p>
        </w:tc>
        <w:tc>
          <w:tcPr>
            <w:tcW w:w="1728" w:type="dxa"/>
            <w:shd w:val="clear" w:color="auto" w:fill="1F3864"/>
          </w:tcPr>
          <w:p w14:paraId="066B890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最大支出项</w:t>
            </w:r>
          </w:p>
        </w:tc>
        <w:tc>
          <w:tcPr>
            <w:tcW w:w="1728" w:type="dxa"/>
            <w:shd w:val="clear" w:color="auto" w:fill="1F3864"/>
          </w:tcPr>
          <w:p w14:paraId="28181BE3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消费趋势</w:t>
            </w:r>
          </w:p>
        </w:tc>
        <w:tc>
          <w:tcPr>
            <w:tcW w:w="1728" w:type="dxa"/>
            <w:shd w:val="clear" w:color="auto" w:fill="1F3864"/>
          </w:tcPr>
          <w:p w14:paraId="712EB57D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核心焦虑</w:t>
            </w:r>
          </w:p>
        </w:tc>
      </w:tr>
      <w:tr w14:paraId="3DAB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4D66E31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顶层精英</w:t>
            </w:r>
          </w:p>
        </w:tc>
        <w:tc>
          <w:tcPr>
            <w:tcW w:w="1728" w:type="dxa"/>
          </w:tcPr>
          <w:p w14:paraId="4C31310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100万+</w:t>
            </w:r>
          </w:p>
        </w:tc>
        <w:tc>
          <w:tcPr>
            <w:tcW w:w="1728" w:type="dxa"/>
          </w:tcPr>
          <w:p w14:paraId="6B6F9E0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子女教育/资产管理</w:t>
            </w:r>
          </w:p>
        </w:tc>
        <w:tc>
          <w:tcPr>
            <w:tcW w:w="1728" w:type="dxa"/>
          </w:tcPr>
          <w:p w14:paraId="32DBEA2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持续升级</w:t>
            </w:r>
          </w:p>
        </w:tc>
        <w:tc>
          <w:tcPr>
            <w:tcW w:w="1728" w:type="dxa"/>
          </w:tcPr>
          <w:p w14:paraId="3D492C5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资产保值、代际传承</w:t>
            </w:r>
          </w:p>
        </w:tc>
      </w:tr>
      <w:tr w14:paraId="40317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6B14502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</w:t>
            </w:r>
          </w:p>
        </w:tc>
        <w:tc>
          <w:tcPr>
            <w:tcW w:w="1728" w:type="dxa"/>
            <w:shd w:val="clear" w:color="auto" w:fill="E8EDF5"/>
          </w:tcPr>
          <w:p w14:paraId="6E2E8D0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50-100万</w:t>
            </w:r>
          </w:p>
        </w:tc>
        <w:tc>
          <w:tcPr>
            <w:tcW w:w="1728" w:type="dxa"/>
            <w:shd w:val="clear" w:color="auto" w:fill="E8EDF5"/>
          </w:tcPr>
          <w:p w14:paraId="7E0AF26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教育/房产改善</w:t>
            </w:r>
          </w:p>
        </w:tc>
        <w:tc>
          <w:tcPr>
            <w:tcW w:w="1728" w:type="dxa"/>
            <w:shd w:val="clear" w:color="auto" w:fill="E8EDF5"/>
          </w:tcPr>
          <w:p w14:paraId="293F914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结构性升级</w:t>
            </w:r>
          </w:p>
        </w:tc>
        <w:tc>
          <w:tcPr>
            <w:tcW w:w="1728" w:type="dxa"/>
            <w:shd w:val="clear" w:color="auto" w:fill="E8EDF5"/>
          </w:tcPr>
          <w:p w14:paraId="60478F5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35岁危机、子女教育竞争</w:t>
            </w:r>
          </w:p>
        </w:tc>
      </w:tr>
      <w:tr w14:paraId="4B5C5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185BD59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</w:t>
            </w:r>
          </w:p>
        </w:tc>
        <w:tc>
          <w:tcPr>
            <w:tcW w:w="1728" w:type="dxa"/>
          </w:tcPr>
          <w:p w14:paraId="7182BC7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20-50万</w:t>
            </w:r>
          </w:p>
        </w:tc>
        <w:tc>
          <w:tcPr>
            <w:tcW w:w="1728" w:type="dxa"/>
          </w:tcPr>
          <w:p w14:paraId="3E3A576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房贷/教育</w:t>
            </w:r>
          </w:p>
        </w:tc>
        <w:tc>
          <w:tcPr>
            <w:tcW w:w="1728" w:type="dxa"/>
          </w:tcPr>
          <w:p w14:paraId="0741D94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整体降级</w:t>
            </w:r>
          </w:p>
        </w:tc>
        <w:tc>
          <w:tcPr>
            <w:tcW w:w="1728" w:type="dxa"/>
          </w:tcPr>
          <w:p w14:paraId="0F1643B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失业风险、房贷压力</w:t>
            </w:r>
          </w:p>
        </w:tc>
      </w:tr>
      <w:tr w14:paraId="4CF6D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shd w:val="clear" w:color="auto" w:fill="E8EDF5"/>
          </w:tcPr>
          <w:p w14:paraId="0B1DD65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</w:t>
            </w:r>
          </w:p>
        </w:tc>
        <w:tc>
          <w:tcPr>
            <w:tcW w:w="1728" w:type="dxa"/>
            <w:shd w:val="clear" w:color="auto" w:fill="E8EDF5"/>
          </w:tcPr>
          <w:p w14:paraId="440134B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10-20万</w:t>
            </w:r>
          </w:p>
        </w:tc>
        <w:tc>
          <w:tcPr>
            <w:tcW w:w="1728" w:type="dxa"/>
            <w:shd w:val="clear" w:color="auto" w:fill="E8EDF5"/>
          </w:tcPr>
          <w:p w14:paraId="2ABD1DC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房租/基本生活</w:t>
            </w:r>
          </w:p>
        </w:tc>
        <w:tc>
          <w:tcPr>
            <w:tcW w:w="1728" w:type="dxa"/>
            <w:shd w:val="clear" w:color="auto" w:fill="E8EDF5"/>
          </w:tcPr>
          <w:p w14:paraId="2671C79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全面压缩</w:t>
            </w:r>
          </w:p>
        </w:tc>
        <w:tc>
          <w:tcPr>
            <w:tcW w:w="1728" w:type="dxa"/>
            <w:shd w:val="clear" w:color="auto" w:fill="E8EDF5"/>
          </w:tcPr>
          <w:p w14:paraId="26C0954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落户无望、购房遥不可及</w:t>
            </w:r>
          </w:p>
        </w:tc>
      </w:tr>
      <w:tr w14:paraId="49766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</w:tcPr>
          <w:p w14:paraId="3BA819B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务工底层</w:t>
            </w:r>
          </w:p>
        </w:tc>
        <w:tc>
          <w:tcPr>
            <w:tcW w:w="1728" w:type="dxa"/>
          </w:tcPr>
          <w:p w14:paraId="0147B48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5-10万</w:t>
            </w:r>
          </w:p>
        </w:tc>
        <w:tc>
          <w:tcPr>
            <w:tcW w:w="1728" w:type="dxa"/>
          </w:tcPr>
          <w:p w14:paraId="14779A7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食宿/寄回老家</w:t>
            </w:r>
          </w:p>
        </w:tc>
        <w:tc>
          <w:tcPr>
            <w:tcW w:w="1728" w:type="dxa"/>
          </w:tcPr>
          <w:p w14:paraId="3B9EBAF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极致节俭</w:t>
            </w:r>
          </w:p>
        </w:tc>
        <w:tc>
          <w:tcPr>
            <w:tcW w:w="1728" w:type="dxa"/>
          </w:tcPr>
          <w:p w14:paraId="46A7B83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社保缺失、收入中断风险</w:t>
            </w:r>
          </w:p>
        </w:tc>
      </w:tr>
    </w:tbl>
    <w:p w14:paraId="6C945179"/>
    <w:p w14:paraId="300067FE">
      <w:pPr>
        <w:ind w:firstLine="420"/>
      </w:pPr>
      <w:r>
        <w:rPr>
          <w:rFonts w:ascii="微软雅黑" w:hAnsi="微软雅黑" w:eastAsia="微软雅黑"/>
          <w:sz w:val="21"/>
        </w:rPr>
        <w:t>2025年北京居民人均消费支出50,667元，同比增长仅1.8%，增速较前几年明显放缓。其中医疗保健支出同比下降7.1%，是八大类消费中唯一下降的项目——这未必意味着健康改善，更可能反映的是居民在收入预期不稳时优先压缩医疗支出，"小病扛、大病拖"的倾向加剧。</w:t>
      </w:r>
    </w:p>
    <w:p w14:paraId="06393057">
      <w:r>
        <w:br w:type="page"/>
      </w:r>
    </w:p>
    <w:p w14:paraId="30A08F6E">
      <w:pPr>
        <w:pStyle w:val="3"/>
      </w:pPr>
      <w:r>
        <w:t>八、各阶层综合对比</w:t>
      </w:r>
    </w:p>
    <w:p w14:paraId="2CAB4544">
      <w:pPr>
        <w:jc w:val="center"/>
      </w:pPr>
      <w:r>
        <w:rPr>
          <w:rFonts w:ascii="微软雅黑" w:hAnsi="微软雅黑" w:eastAsia="微软雅黑"/>
          <w:b/>
          <w:sz w:val="20"/>
        </w:rPr>
        <w:t>表17 北京社会六大阶层核心指标对比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0DF62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1F3864"/>
          </w:tcPr>
          <w:p w14:paraId="721CB800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阶层</w:t>
            </w:r>
          </w:p>
        </w:tc>
        <w:tc>
          <w:tcPr>
            <w:tcW w:w="1440" w:type="dxa"/>
            <w:shd w:val="clear" w:color="auto" w:fill="1F3864"/>
          </w:tcPr>
          <w:p w14:paraId="7F2AAAB5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占比</w:t>
            </w:r>
          </w:p>
        </w:tc>
        <w:tc>
          <w:tcPr>
            <w:tcW w:w="1440" w:type="dxa"/>
            <w:shd w:val="clear" w:color="auto" w:fill="1F3864"/>
          </w:tcPr>
          <w:p w14:paraId="7497899F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家庭年收入</w:t>
            </w:r>
          </w:p>
        </w:tc>
        <w:tc>
          <w:tcPr>
            <w:tcW w:w="1440" w:type="dxa"/>
            <w:shd w:val="clear" w:color="auto" w:fill="1F3864"/>
          </w:tcPr>
          <w:p w14:paraId="0737B961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家庭净资产</w:t>
            </w:r>
          </w:p>
        </w:tc>
        <w:tc>
          <w:tcPr>
            <w:tcW w:w="1440" w:type="dxa"/>
            <w:shd w:val="clear" w:color="auto" w:fill="1F3864"/>
          </w:tcPr>
          <w:p w14:paraId="795ACB9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核心特征</w:t>
            </w:r>
          </w:p>
        </w:tc>
        <w:tc>
          <w:tcPr>
            <w:tcW w:w="1440" w:type="dxa"/>
            <w:shd w:val="clear" w:color="auto" w:fill="1F3864"/>
          </w:tcPr>
          <w:p w14:paraId="0943C19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最大焦虑</w:t>
            </w:r>
          </w:p>
        </w:tc>
      </w:tr>
      <w:tr w14:paraId="07F16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4CC579E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顶层精英</w:t>
            </w:r>
          </w:p>
        </w:tc>
        <w:tc>
          <w:tcPr>
            <w:tcW w:w="1440" w:type="dxa"/>
          </w:tcPr>
          <w:p w14:paraId="05B5712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不足0.5%</w:t>
            </w:r>
          </w:p>
        </w:tc>
        <w:tc>
          <w:tcPr>
            <w:tcW w:w="1440" w:type="dxa"/>
          </w:tcPr>
          <w:p w14:paraId="2CCAA69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200万+</w:t>
            </w:r>
          </w:p>
        </w:tc>
        <w:tc>
          <w:tcPr>
            <w:tcW w:w="1440" w:type="dxa"/>
          </w:tcPr>
          <w:p w14:paraId="7B8B332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2,000万+</w:t>
            </w:r>
          </w:p>
        </w:tc>
        <w:tc>
          <w:tcPr>
            <w:tcW w:w="1440" w:type="dxa"/>
          </w:tcPr>
          <w:p w14:paraId="03F3E91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资本-权力-人脉三位一体</w:t>
            </w:r>
          </w:p>
        </w:tc>
        <w:tc>
          <w:tcPr>
            <w:tcW w:w="1440" w:type="dxa"/>
          </w:tcPr>
          <w:p w14:paraId="41F6607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资产保值与代际传承</w:t>
            </w:r>
          </w:p>
        </w:tc>
      </w:tr>
      <w:tr w14:paraId="6AA4B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E8EDF5"/>
          </w:tcPr>
          <w:p w14:paraId="6773709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高阶中产</w:t>
            </w:r>
          </w:p>
        </w:tc>
        <w:tc>
          <w:tcPr>
            <w:tcW w:w="1440" w:type="dxa"/>
            <w:shd w:val="clear" w:color="auto" w:fill="E8EDF5"/>
          </w:tcPr>
          <w:p w14:paraId="2E36000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约3%</w:t>
            </w:r>
          </w:p>
        </w:tc>
        <w:tc>
          <w:tcPr>
            <w:tcW w:w="1440" w:type="dxa"/>
            <w:shd w:val="clear" w:color="auto" w:fill="E8EDF5"/>
          </w:tcPr>
          <w:p w14:paraId="538559A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80-200万</w:t>
            </w:r>
          </w:p>
        </w:tc>
        <w:tc>
          <w:tcPr>
            <w:tcW w:w="1440" w:type="dxa"/>
            <w:shd w:val="clear" w:color="auto" w:fill="E8EDF5"/>
          </w:tcPr>
          <w:p w14:paraId="2B28943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800-2,000万</w:t>
            </w:r>
          </w:p>
        </w:tc>
        <w:tc>
          <w:tcPr>
            <w:tcW w:w="1440" w:type="dxa"/>
            <w:shd w:val="clear" w:color="auto" w:fill="E8EDF5"/>
          </w:tcPr>
          <w:p w14:paraId="3686F99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高薪打工者，35岁危机突出</w:t>
            </w:r>
          </w:p>
        </w:tc>
        <w:tc>
          <w:tcPr>
            <w:tcW w:w="1440" w:type="dxa"/>
            <w:shd w:val="clear" w:color="auto" w:fill="E8EDF5"/>
          </w:tcPr>
          <w:p w14:paraId="24E9F8A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职业安全与子女教育</w:t>
            </w:r>
          </w:p>
        </w:tc>
      </w:tr>
      <w:tr w14:paraId="683A7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2CA0E11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普通中产</w:t>
            </w:r>
          </w:p>
        </w:tc>
        <w:tc>
          <w:tcPr>
            <w:tcW w:w="1440" w:type="dxa"/>
          </w:tcPr>
          <w:p w14:paraId="736A0EA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约35%</w:t>
            </w:r>
          </w:p>
        </w:tc>
        <w:tc>
          <w:tcPr>
            <w:tcW w:w="1440" w:type="dxa"/>
          </w:tcPr>
          <w:p w14:paraId="3F98F94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30-80万</w:t>
            </w:r>
          </w:p>
        </w:tc>
        <w:tc>
          <w:tcPr>
            <w:tcW w:w="1440" w:type="dxa"/>
          </w:tcPr>
          <w:p w14:paraId="43A03A0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400-800万</w:t>
            </w:r>
          </w:p>
        </w:tc>
        <w:tc>
          <w:tcPr>
            <w:tcW w:w="1440" w:type="dxa"/>
          </w:tcPr>
          <w:p w14:paraId="2CB5197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负重前行，房产决定归属</w:t>
            </w:r>
          </w:p>
        </w:tc>
        <w:tc>
          <w:tcPr>
            <w:tcW w:w="1440" w:type="dxa"/>
          </w:tcPr>
          <w:p w14:paraId="52F13A5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失业风险与房贷压力</w:t>
            </w:r>
          </w:p>
        </w:tc>
      </w:tr>
      <w:tr w14:paraId="2073D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E8EDF5"/>
          </w:tcPr>
          <w:p w14:paraId="5A1D1CD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小康工薪</w:t>
            </w:r>
          </w:p>
        </w:tc>
        <w:tc>
          <w:tcPr>
            <w:tcW w:w="1440" w:type="dxa"/>
            <w:shd w:val="clear" w:color="auto" w:fill="E8EDF5"/>
          </w:tcPr>
          <w:p w14:paraId="30451F9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约32%</w:t>
            </w:r>
          </w:p>
        </w:tc>
        <w:tc>
          <w:tcPr>
            <w:tcW w:w="1440" w:type="dxa"/>
            <w:shd w:val="clear" w:color="auto" w:fill="E8EDF5"/>
          </w:tcPr>
          <w:p w14:paraId="6DC6B97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10-30万</w:t>
            </w:r>
          </w:p>
        </w:tc>
        <w:tc>
          <w:tcPr>
            <w:tcW w:w="1440" w:type="dxa"/>
            <w:shd w:val="clear" w:color="auto" w:fill="E8EDF5"/>
          </w:tcPr>
          <w:p w14:paraId="64A42E3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100-400万</w:t>
            </w:r>
          </w:p>
        </w:tc>
        <w:tc>
          <w:tcPr>
            <w:tcW w:w="1440" w:type="dxa"/>
            <w:shd w:val="clear" w:color="auto" w:fill="E8EDF5"/>
          </w:tcPr>
          <w:p w14:paraId="29963E9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向上通道收窄，青年外流</w:t>
            </w:r>
          </w:p>
        </w:tc>
        <w:tc>
          <w:tcPr>
            <w:tcW w:w="1440" w:type="dxa"/>
            <w:shd w:val="clear" w:color="auto" w:fill="E8EDF5"/>
          </w:tcPr>
          <w:p w14:paraId="70817E9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落户无望与购房遥不可及</w:t>
            </w:r>
          </w:p>
        </w:tc>
      </w:tr>
      <w:tr w14:paraId="250AA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4E69819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务工底层</w:t>
            </w:r>
          </w:p>
        </w:tc>
        <w:tc>
          <w:tcPr>
            <w:tcW w:w="1440" w:type="dxa"/>
          </w:tcPr>
          <w:p w14:paraId="7547642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约28%</w:t>
            </w:r>
          </w:p>
        </w:tc>
        <w:tc>
          <w:tcPr>
            <w:tcW w:w="1440" w:type="dxa"/>
          </w:tcPr>
          <w:p w14:paraId="7311548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6-12万/人</w:t>
            </w:r>
          </w:p>
        </w:tc>
        <w:tc>
          <w:tcPr>
            <w:tcW w:w="1440" w:type="dxa"/>
          </w:tcPr>
          <w:p w14:paraId="6F42830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极少</w:t>
            </w:r>
          </w:p>
        </w:tc>
        <w:tc>
          <w:tcPr>
            <w:tcW w:w="1440" w:type="dxa"/>
          </w:tcPr>
          <w:p w14:paraId="69C3494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短期务工，储蓄返乡</w:t>
            </w:r>
          </w:p>
        </w:tc>
        <w:tc>
          <w:tcPr>
            <w:tcW w:w="1440" w:type="dxa"/>
          </w:tcPr>
          <w:p w14:paraId="455390A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社保缺失与收入中断</w:t>
            </w:r>
          </w:p>
        </w:tc>
      </w:tr>
      <w:tr w14:paraId="730E6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E8EDF5"/>
          </w:tcPr>
          <w:p w14:paraId="7C1C498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困难群体</w:t>
            </w:r>
          </w:p>
        </w:tc>
        <w:tc>
          <w:tcPr>
            <w:tcW w:w="1440" w:type="dxa"/>
            <w:shd w:val="clear" w:color="auto" w:fill="E8EDF5"/>
          </w:tcPr>
          <w:p w14:paraId="780BCF87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不足1.5%</w:t>
            </w:r>
          </w:p>
        </w:tc>
        <w:tc>
          <w:tcPr>
            <w:tcW w:w="1440" w:type="dxa"/>
            <w:shd w:val="clear" w:color="auto" w:fill="E8EDF5"/>
          </w:tcPr>
          <w:p w14:paraId="6E1D5221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低保线以下</w:t>
            </w:r>
          </w:p>
        </w:tc>
        <w:tc>
          <w:tcPr>
            <w:tcW w:w="1440" w:type="dxa"/>
            <w:shd w:val="clear" w:color="auto" w:fill="E8EDF5"/>
          </w:tcPr>
          <w:p w14:paraId="67AA2B0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几乎无</w:t>
            </w:r>
          </w:p>
        </w:tc>
        <w:tc>
          <w:tcPr>
            <w:tcW w:w="1440" w:type="dxa"/>
            <w:shd w:val="clear" w:color="auto" w:fill="E8EDF5"/>
          </w:tcPr>
          <w:p w14:paraId="1282C1A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依赖政策兜底</w:t>
            </w:r>
          </w:p>
        </w:tc>
        <w:tc>
          <w:tcPr>
            <w:tcW w:w="1440" w:type="dxa"/>
            <w:shd w:val="clear" w:color="auto" w:fill="E8EDF5"/>
          </w:tcPr>
          <w:p w14:paraId="4087187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大病与养老缺乏保障</w:t>
            </w:r>
          </w:p>
        </w:tc>
      </w:tr>
    </w:tbl>
    <w:p w14:paraId="5E271D55"/>
    <w:p w14:paraId="7CC15450">
      <w:pPr>
        <w:jc w:val="center"/>
      </w:pPr>
      <w:r>
        <w:rPr>
          <w:rFonts w:ascii="微软雅黑" w:hAnsi="微软雅黑" w:eastAsia="微软雅黑"/>
          <w:b/>
          <w:sz w:val="20"/>
        </w:rPr>
        <w:t>表18 北京各阶层医疗、教育、养老资源获取对比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2B1A2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1F3864"/>
          </w:tcPr>
          <w:p w14:paraId="4784C9E1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维度</w:t>
            </w:r>
          </w:p>
        </w:tc>
        <w:tc>
          <w:tcPr>
            <w:tcW w:w="1440" w:type="dxa"/>
            <w:shd w:val="clear" w:color="auto" w:fill="1F3864"/>
          </w:tcPr>
          <w:p w14:paraId="083A9268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顶层精英</w:t>
            </w:r>
          </w:p>
        </w:tc>
        <w:tc>
          <w:tcPr>
            <w:tcW w:w="1440" w:type="dxa"/>
            <w:shd w:val="clear" w:color="auto" w:fill="1F3864"/>
          </w:tcPr>
          <w:p w14:paraId="64CA0493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高阶中产</w:t>
            </w:r>
          </w:p>
        </w:tc>
        <w:tc>
          <w:tcPr>
            <w:tcW w:w="1440" w:type="dxa"/>
            <w:shd w:val="clear" w:color="auto" w:fill="1F3864"/>
          </w:tcPr>
          <w:p w14:paraId="0E04C20B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普通中产</w:t>
            </w:r>
          </w:p>
        </w:tc>
        <w:tc>
          <w:tcPr>
            <w:tcW w:w="1440" w:type="dxa"/>
            <w:shd w:val="clear" w:color="auto" w:fill="1F3864"/>
          </w:tcPr>
          <w:p w14:paraId="54C38320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小康工薪</w:t>
            </w:r>
          </w:p>
        </w:tc>
        <w:tc>
          <w:tcPr>
            <w:tcW w:w="1440" w:type="dxa"/>
            <w:shd w:val="clear" w:color="auto" w:fill="1F3864"/>
          </w:tcPr>
          <w:p w14:paraId="76E8A65A">
            <w:pPr>
              <w:jc w:val="center"/>
            </w:pPr>
            <w:r>
              <w:rPr>
                <w:rFonts w:ascii="微软雅黑" w:hAnsi="微软雅黑" w:eastAsia="微软雅黑"/>
                <w:b/>
                <w:color w:val="FFFFFF"/>
                <w:sz w:val="18"/>
              </w:rPr>
              <w:t>务工底层</w:t>
            </w:r>
          </w:p>
        </w:tc>
      </w:tr>
      <w:tr w14:paraId="1F1AA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187BDF5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就医方式</w:t>
            </w:r>
          </w:p>
        </w:tc>
        <w:tc>
          <w:tcPr>
            <w:tcW w:w="1440" w:type="dxa"/>
          </w:tcPr>
          <w:p w14:paraId="6009D00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私立/VIP</w:t>
            </w:r>
          </w:p>
        </w:tc>
        <w:tc>
          <w:tcPr>
            <w:tcW w:w="1440" w:type="dxa"/>
          </w:tcPr>
          <w:p w14:paraId="07E5D36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三甲特需</w:t>
            </w:r>
          </w:p>
        </w:tc>
        <w:tc>
          <w:tcPr>
            <w:tcW w:w="1440" w:type="dxa"/>
          </w:tcPr>
          <w:p w14:paraId="2A64E79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三甲普通</w:t>
            </w:r>
          </w:p>
        </w:tc>
        <w:tc>
          <w:tcPr>
            <w:tcW w:w="1440" w:type="dxa"/>
          </w:tcPr>
          <w:p w14:paraId="6E1A5D3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社区+三甲</w:t>
            </w:r>
          </w:p>
        </w:tc>
        <w:tc>
          <w:tcPr>
            <w:tcW w:w="1440" w:type="dxa"/>
          </w:tcPr>
          <w:p w14:paraId="326308A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社区/老家</w:t>
            </w:r>
          </w:p>
        </w:tc>
      </w:tr>
      <w:tr w14:paraId="18769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E8EDF5"/>
          </w:tcPr>
          <w:p w14:paraId="5FF55E4B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子女教育</w:t>
            </w:r>
          </w:p>
        </w:tc>
        <w:tc>
          <w:tcPr>
            <w:tcW w:w="1440" w:type="dxa"/>
            <w:shd w:val="clear" w:color="auto" w:fill="E8EDF5"/>
          </w:tcPr>
          <w:p w14:paraId="4F7F5B42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国际学校</w:t>
            </w:r>
          </w:p>
        </w:tc>
        <w:tc>
          <w:tcPr>
            <w:tcW w:w="1440" w:type="dxa"/>
            <w:shd w:val="clear" w:color="auto" w:fill="E8EDF5"/>
          </w:tcPr>
          <w:p w14:paraId="7720C83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顶尖公立/国际部</w:t>
            </w:r>
          </w:p>
        </w:tc>
        <w:tc>
          <w:tcPr>
            <w:tcW w:w="1440" w:type="dxa"/>
            <w:shd w:val="clear" w:color="auto" w:fill="E8EDF5"/>
          </w:tcPr>
          <w:p w14:paraId="3AE2CF2E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公立+培训</w:t>
            </w:r>
          </w:p>
        </w:tc>
        <w:tc>
          <w:tcPr>
            <w:tcW w:w="1440" w:type="dxa"/>
            <w:shd w:val="clear" w:color="auto" w:fill="E8EDF5"/>
          </w:tcPr>
          <w:p w14:paraId="45E11D2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公立普通</w:t>
            </w:r>
          </w:p>
        </w:tc>
        <w:tc>
          <w:tcPr>
            <w:tcW w:w="1440" w:type="dxa"/>
            <w:shd w:val="clear" w:color="auto" w:fill="E8EDF5"/>
          </w:tcPr>
          <w:p w14:paraId="45EDEDA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老家学校</w:t>
            </w:r>
          </w:p>
        </w:tc>
      </w:tr>
      <w:tr w14:paraId="59597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3DEA3CAD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养老预期</w:t>
            </w:r>
          </w:p>
        </w:tc>
        <w:tc>
          <w:tcPr>
            <w:tcW w:w="1440" w:type="dxa"/>
          </w:tcPr>
          <w:p w14:paraId="3D464BF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高端养老院</w:t>
            </w:r>
          </w:p>
        </w:tc>
        <w:tc>
          <w:tcPr>
            <w:tcW w:w="1440" w:type="dxa"/>
          </w:tcPr>
          <w:p w14:paraId="6621C2C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中高端养老</w:t>
            </w:r>
          </w:p>
        </w:tc>
        <w:tc>
          <w:tcPr>
            <w:tcW w:w="1440" w:type="dxa"/>
          </w:tcPr>
          <w:p w14:paraId="751B4A7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居家+社区</w:t>
            </w:r>
          </w:p>
        </w:tc>
        <w:tc>
          <w:tcPr>
            <w:tcW w:w="1440" w:type="dxa"/>
          </w:tcPr>
          <w:p w14:paraId="7E18507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居家为主</w:t>
            </w:r>
          </w:p>
        </w:tc>
        <w:tc>
          <w:tcPr>
            <w:tcW w:w="1440" w:type="dxa"/>
          </w:tcPr>
          <w:p w14:paraId="7B930C9F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返乡养老</w:t>
            </w:r>
          </w:p>
        </w:tc>
      </w:tr>
      <w:tr w14:paraId="26F22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shd w:val="clear" w:color="auto" w:fill="E8EDF5"/>
          </w:tcPr>
          <w:p w14:paraId="05728B5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社保覆盖</w:t>
            </w:r>
          </w:p>
        </w:tc>
        <w:tc>
          <w:tcPr>
            <w:tcW w:w="1440" w:type="dxa"/>
            <w:shd w:val="clear" w:color="auto" w:fill="E8EDF5"/>
          </w:tcPr>
          <w:p w14:paraId="707F51B4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商保全额</w:t>
            </w:r>
          </w:p>
        </w:tc>
        <w:tc>
          <w:tcPr>
            <w:tcW w:w="1440" w:type="dxa"/>
            <w:shd w:val="clear" w:color="auto" w:fill="E8EDF5"/>
          </w:tcPr>
          <w:p w14:paraId="17D82D9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职工社保+商保</w:t>
            </w:r>
          </w:p>
        </w:tc>
        <w:tc>
          <w:tcPr>
            <w:tcW w:w="1440" w:type="dxa"/>
            <w:shd w:val="clear" w:color="auto" w:fill="E8EDF5"/>
          </w:tcPr>
          <w:p w14:paraId="0E53F916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职工社保</w:t>
            </w:r>
          </w:p>
        </w:tc>
        <w:tc>
          <w:tcPr>
            <w:tcW w:w="1440" w:type="dxa"/>
            <w:shd w:val="clear" w:color="auto" w:fill="E8EDF5"/>
          </w:tcPr>
          <w:p w14:paraId="151DFC80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部分职工社保</w:t>
            </w:r>
          </w:p>
        </w:tc>
        <w:tc>
          <w:tcPr>
            <w:tcW w:w="1440" w:type="dxa"/>
            <w:shd w:val="clear" w:color="auto" w:fill="E8EDF5"/>
          </w:tcPr>
          <w:p w14:paraId="433899E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新农合/无</w:t>
            </w:r>
          </w:p>
        </w:tc>
      </w:tr>
      <w:tr w14:paraId="7DD20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</w:tcPr>
          <w:p w14:paraId="43DDE9A9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退休金预期</w:t>
            </w:r>
          </w:p>
        </w:tc>
        <w:tc>
          <w:tcPr>
            <w:tcW w:w="1440" w:type="dxa"/>
          </w:tcPr>
          <w:p w14:paraId="7DDD6C18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不依赖退休金</w:t>
            </w:r>
          </w:p>
        </w:tc>
        <w:tc>
          <w:tcPr>
            <w:tcW w:w="1440" w:type="dxa"/>
          </w:tcPr>
          <w:p w14:paraId="379DF5FA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7,000+/月</w:t>
            </w:r>
          </w:p>
        </w:tc>
        <w:tc>
          <w:tcPr>
            <w:tcW w:w="1440" w:type="dxa"/>
          </w:tcPr>
          <w:p w14:paraId="3F8EA4EC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4,000-6,000/月</w:t>
            </w:r>
          </w:p>
        </w:tc>
        <w:tc>
          <w:tcPr>
            <w:tcW w:w="1440" w:type="dxa"/>
          </w:tcPr>
          <w:p w14:paraId="4C68A3B5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3,000-5,000/月</w:t>
            </w:r>
          </w:p>
        </w:tc>
        <w:tc>
          <w:tcPr>
            <w:tcW w:w="1440" w:type="dxa"/>
          </w:tcPr>
          <w:p w14:paraId="52E332C3">
            <w:pPr>
              <w:jc w:val="center"/>
            </w:pPr>
            <w:r>
              <w:rPr>
                <w:rFonts w:ascii="微软雅黑" w:hAnsi="微软雅黑" w:eastAsia="微软雅黑"/>
                <w:sz w:val="18"/>
              </w:rPr>
              <w:t>998元/月（居民保）</w:t>
            </w:r>
          </w:p>
        </w:tc>
      </w:tr>
    </w:tbl>
    <w:p w14:paraId="01BB30AB"/>
    <w:p w14:paraId="5C6DAFCE">
      <w:pPr>
        <w:pStyle w:val="3"/>
      </w:pPr>
      <w:r>
        <w:t>九、趋势研判与政策建议</w:t>
      </w:r>
    </w:p>
    <w:p w14:paraId="23ECF330">
      <w:pPr>
        <w:pStyle w:val="4"/>
      </w:pPr>
      <w:r>
        <w:t>1. 趋势研判</w:t>
      </w:r>
    </w:p>
    <w:p w14:paraId="550E872E">
      <w:pPr>
        <w:pStyle w:val="5"/>
      </w:pPr>
      <w:r>
        <w:t>老龄化加速</w:t>
      </w:r>
      <w:r>
        <w:rPr>
          <w:rFonts w:hint="eastAsia" w:eastAsia="宋体"/>
          <w:lang w:val="en-US" w:eastAsia="zh-CN"/>
        </w:rPr>
        <w:t>将</w:t>
      </w:r>
      <w:r>
        <w:t>重构阶层格局</w:t>
      </w:r>
    </w:p>
    <w:p w14:paraId="7EC97518">
      <w:pPr>
        <w:ind w:firstLine="420"/>
      </w:pPr>
      <w:r>
        <w:rPr>
          <w:rFonts w:ascii="微软雅黑" w:hAnsi="微软雅黑" w:eastAsia="微软雅黑"/>
          <w:sz w:val="21"/>
        </w:rPr>
        <w:t>2024年北京60岁及以上常住老年人口514.0万人，占23.5%，预计"十六五"初期进入重度老龄化，本世纪中叶老年人口或超1,000万人。老龄化对阶层结构的影响是系统性的：养老支出将挤压中产家庭可支配收入，养老金替代率持续走低（2023-2025年全国养老金调整幅度分别为3.8%、3.0%、2.0%），医疗资源竞争加剧（2024年卫生总费用4,065.27亿元，个人现金卫生支出568.40亿元），"未富先老"的焦虑将从困难群体向上蔓延至普通中产。</w:t>
      </w:r>
    </w:p>
    <w:p w14:paraId="3B2C336B">
      <w:pPr>
        <w:pStyle w:val="5"/>
      </w:pPr>
      <w:r>
        <w:t>AI技术冲击</w:t>
      </w:r>
      <w:r>
        <w:rPr>
          <w:rFonts w:hint="eastAsia" w:eastAsia="宋体"/>
          <w:lang w:val="en-US" w:eastAsia="zh-CN"/>
        </w:rPr>
        <w:t>将</w:t>
      </w:r>
      <w:r>
        <w:t>重塑职业阶层</w:t>
      </w:r>
    </w:p>
    <w:p w14:paraId="3FB52812">
      <w:pPr>
        <w:ind w:firstLine="420"/>
      </w:pPr>
      <w:r>
        <w:rPr>
          <w:rFonts w:ascii="微软雅黑" w:hAnsi="微软雅黑" w:eastAsia="微软雅黑"/>
          <w:sz w:val="21"/>
        </w:rPr>
        <w:t>AI对就业市场的冲击已从蓝领扩展到白领：程序员、翻译、设计、财会、法律助理等传统中产职业正在被AI替代。某头部互联网公司35岁以上员工占比从28%降至12%，Meta已无人手写代码，谷歌75%新增代码由AI生成。未来5-10年，普通中产中大量"知识型工种"（初级代码、文档撰写、数据分析、基础设计）将面临结构性过剩，而需要复杂判断、人际交互、创意突破的岗位将获得溢价——这意味着中产内部将进一步分化，"不可替代性"成为新的阶层分界线。</w:t>
      </w:r>
    </w:p>
    <w:p w14:paraId="620DBA97">
      <w:pPr>
        <w:pStyle w:val="5"/>
      </w:pPr>
      <w:r>
        <w:t>住房双轨制</w:t>
      </w:r>
      <w:r>
        <w:rPr>
          <w:rFonts w:hint="eastAsia" w:eastAsia="宋体"/>
          <w:lang w:val="en-US" w:eastAsia="zh-CN"/>
        </w:rPr>
        <w:t>将</w:t>
      </w:r>
      <w:r>
        <w:t>缓解但不会消除阶层分化</w:t>
      </w:r>
    </w:p>
    <w:p w14:paraId="767638D4">
      <w:pPr>
        <w:ind w:firstLine="420"/>
      </w:pPr>
      <w:r>
        <w:rPr>
          <w:rFonts w:ascii="微软雅黑" w:hAnsi="微软雅黑" w:eastAsia="微软雅黑"/>
          <w:sz w:val="21"/>
        </w:rPr>
        <w:t>保障性住房体系建设正在加速："十四五"期间累计建设筹集保租房40万套，2025年公租房备案家庭保障率目标85%，"城市建设者管理者之家"定向服务务工群体。但保障性住房解决的是"有房住"而非"有资产"——租房者无法享受房产增值带来的财富效应，保障房与商品房的"双轨制"可能在缓解居住压力的同时，固化"有产者-无产者"的阶层分界。</w:t>
      </w:r>
    </w:p>
    <w:p w14:paraId="76CE5AAC">
      <w:pPr>
        <w:pStyle w:val="5"/>
      </w:pPr>
      <w:r>
        <w:t>人口净流出将改变城市竞争逻辑</w:t>
      </w:r>
    </w:p>
    <w:p w14:paraId="6CB2392A">
      <w:pPr>
        <w:ind w:firstLine="420"/>
      </w:pPr>
      <w:r>
        <w:rPr>
          <w:rFonts w:ascii="微软雅黑" w:hAnsi="微软雅黑" w:eastAsia="微软雅黑"/>
          <w:sz w:val="21"/>
        </w:rPr>
        <w:t>2022-2025年北京常住人口持续减少，20-35岁青年人口净流出明显。人口流出既是压力也是倒逼——城市需要从"靠人口红利"转向"靠人才质量"，从"规模扩张"转向"品质提升"。但青年人口外流也意味着城市活力和创新动力的衰减，如何在控制人口规模与保持城市竞争力之间找到平衡，是未来十年北京城市治理的核心命题。</w:t>
      </w:r>
    </w:p>
    <w:p w14:paraId="63551232">
      <w:pPr>
        <w:pStyle w:val="4"/>
      </w:pPr>
      <w:r>
        <w:t>2. 政策建议</w:t>
      </w:r>
    </w:p>
    <w:p w14:paraId="61A32F9C">
      <w:pPr>
        <w:ind w:firstLine="420"/>
      </w:pPr>
      <w:r>
        <w:rPr>
          <w:rFonts w:ascii="微软雅黑" w:hAnsi="微软雅黑" w:eastAsia="微软雅黑"/>
          <w:sz w:val="21"/>
        </w:rPr>
        <w:t>第一，扩大保障性住房覆盖范围，将外来务工群体纳入公租房与保租房的优先配租对象。当前公租房申请以户籍为前提，大量819.3万外来常住人口被排除在外。建议在"城市建设者管理者之家"试点基础上，扩大面向新市民、青年人的保障性租赁房源供给，逐步淡化保障房的户籍绑定。</w:t>
      </w:r>
    </w:p>
    <w:p w14:paraId="059D203E">
      <w:pPr>
        <w:ind w:firstLine="420"/>
      </w:pPr>
      <w:r>
        <w:rPr>
          <w:rFonts w:ascii="微软雅黑" w:hAnsi="微软雅黑" w:eastAsia="微软雅黑"/>
          <w:sz w:val="21"/>
        </w:rPr>
        <w:t>第二，完善灵活就业人员社保体系，降低缴费门槛。2026年已取消灵活就业参保户籍限制，但月缴2,000元以上的门槛对务工群体仍偏高。建议设立阶梯式缴费方案，允许按收入比例缴费，建立个人账户可携带机制，解决跨省流动人员的社保接续难题。</w:t>
      </w:r>
    </w:p>
    <w:p w14:paraId="670C7D61">
      <w:pPr>
        <w:ind w:firstLine="420"/>
      </w:pPr>
      <w:r>
        <w:rPr>
          <w:rFonts w:ascii="微软雅黑" w:hAnsi="微软雅黑" w:eastAsia="微软雅黑"/>
          <w:sz w:val="21"/>
        </w:rPr>
        <w:t>第三，深化教育均等化改革，打破学区房与优质教育的强绑定。教师轮岗制度需进一步做实，优质教育资源需向远郊和薄弱区域实质性倾斜。北京2024年生均教育经费46,710元，总量充足但分布极不均衡——"钱随人走"的财政机制改革是破题关键。</w:t>
      </w:r>
    </w:p>
    <w:p w14:paraId="0E42BF7B">
      <w:pPr>
        <w:ind w:firstLine="420"/>
      </w:pPr>
      <w:r>
        <w:rPr>
          <w:rFonts w:ascii="微软雅黑" w:hAnsi="微软雅黑" w:eastAsia="微软雅黑"/>
          <w:sz w:val="21"/>
        </w:rPr>
        <w:t>第四，推进医疗资源下沉与分级诊疗做实。三级公立医院50%门诊号源向基层投放是重要举措，但基层医疗机构的诊疗能力与服务质量仍是短板。需加强社区全科医生培养与薪酬激励，让居民真正"愿意在基层看病"，而非被迫奔波于三甲医院。</w:t>
      </w:r>
    </w:p>
    <w:p w14:paraId="53B11767">
      <w:pPr>
        <w:ind w:firstLine="420"/>
      </w:pPr>
      <w:r>
        <w:rPr>
          <w:rFonts w:ascii="微软雅黑" w:hAnsi="微软雅黑" w:eastAsia="微软雅黑"/>
          <w:sz w:val="21"/>
        </w:rPr>
        <w:t>第五，积极应对老龄化，加快构建三级养老服务网络。《北京市养老服务条例》2026年7月1日施行，区-街道-社区三级网络的建设落地是关键。需加大财政投入，引导社会资本参与，重点解决"老老人"（80岁以上）照护、失能失智老人机构养老、医养结合等痛点。</w:t>
      </w:r>
    </w:p>
    <w:p w14:paraId="5BAF64A3">
      <w:pPr>
        <w:ind w:firstLine="420"/>
      </w:pPr>
      <w:r>
        <w:rPr>
          <w:rFonts w:ascii="微软雅黑" w:hAnsi="微软雅黑" w:eastAsia="微软雅黑"/>
          <w:sz w:val="21"/>
        </w:rPr>
        <w:t>第六，拓宽新市民落户通道，适度扩大积分落户规模。当前每年6,000人的落户名额相对于819.3万外来常住人口杯水车薪。建议在控制总量前提下，逐步扩大名额、优化积分指标（增加在京贡献、社保年限权重），让更多长期在京工作生活的新市民获得归属感。</w:t>
      </w:r>
    </w:p>
    <w:p w14:paraId="675AEC64">
      <w:pPr>
        <w:pStyle w:val="3"/>
      </w:pPr>
      <w:r>
        <w:t>结语</w:t>
      </w:r>
    </w:p>
    <w:p w14:paraId="57AD7299">
      <w:pPr>
        <w:ind w:firstLine="420"/>
      </w:pPr>
      <w:r>
        <w:rPr>
          <w:rFonts w:ascii="微软雅黑" w:hAnsi="微软雅黑" w:eastAsia="微软雅黑"/>
          <w:sz w:val="21"/>
        </w:rPr>
        <w:t>北京的多元阶层结构，是首都城市功能、人口流动、资源分配共同作用的结果。顶层精英掌握稀缺公共与市场资源，中产群体负重支撑城市经济创新，工薪与务工阶层维系城市基础运转，底层群体依靠民生保障兜底。</w:t>
      </w:r>
    </w:p>
    <w:p w14:paraId="282FEC28">
      <w:pPr>
        <w:ind w:firstLine="420"/>
      </w:pPr>
      <w:r>
        <w:rPr>
          <w:rFonts w:ascii="微软雅黑" w:hAnsi="微软雅黑" w:eastAsia="微软雅黑"/>
          <w:sz w:val="21"/>
        </w:rPr>
        <w:t>各阶层共存共生，却又被房产、户籍、收入、空间层层分割。当前城市治理持续通过普惠教育、保障性住房、外来务工权益保障、养老医疗均等化缩小阶层差距，缓解居住、教育、就业的结构性矛盾。2025年保障性租赁住房5万套的建设筹集、公租房备案家庭保障率提升至85%的目标、教师轮岗制度的深化推进、三级公立医院号源向基层投放，都是向缩小阶层差距迈出的实质步伐。</w:t>
      </w:r>
    </w:p>
    <w:p w14:paraId="1F122AA0">
      <w:pPr>
        <w:ind w:firstLine="420"/>
      </w:pPr>
      <w:r>
        <w:rPr>
          <w:rFonts w:ascii="微软雅黑" w:hAnsi="微软雅黑" w:eastAsia="微软雅黑"/>
          <w:sz w:val="21"/>
        </w:rPr>
        <w:t>面向未来，老龄化加速、AI技术冲击、人口结构变化将深刻重塑北京阶层格局。应对这些挑战，需要在保障性住房、社保体系、教育均等化、医疗资源下沉、养老服务网络、落户通道等六个关键领域持续深化改革。对于个体而言，北京既是实现阶层跃升的平台，也意味着长期的竞争与压力；这座城市的包容性，体现在容纳千万不同阶层的奋斗者，而未来发展的核心命题，是打通阶层流动通道，缩小资源分配差距，让不同群体都能获得稳定、有尊严的城市生活。</w:t>
      </w:r>
      <w:bookmarkStart w:id="0" w:name="_GoBack"/>
      <w:bookmarkEnd w:id="0"/>
    </w:p>
    <w:p w14:paraId="4F52B47A">
      <w:pPr>
        <w:pStyle w:val="4"/>
      </w:pPr>
      <w:r>
        <w:t>主要数据来源</w:t>
      </w:r>
    </w:p>
    <w:p w14:paraId="53F492E9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>北京市统计局《2024年国民经济和社会发展统计公报》</w:t>
      </w:r>
    </w:p>
    <w:p w14:paraId="2F4B7097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 北京市2025年全国1%人口抽样调查主要数据公报</w:t>
      </w:r>
    </w:p>
    <w:p w14:paraId="3799CA2D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 国家统计局2024年居民收入和消费支出情况 </w:t>
      </w:r>
    </w:p>
    <w:p w14:paraId="29C422D3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>北京市统计局2024-2025年居民消费支出解读</w:t>
      </w:r>
    </w:p>
    <w:p w14:paraId="038DB43B">
      <w:pPr>
        <w:numPr>
          <w:numId w:val="0"/>
        </w:numPr>
        <w:spacing w:after="120" w:line="360" w:lineRule="auto"/>
        <w:ind w:firstLine="420" w:firstLineChars="20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《2024中国蓝领就业调研报告》（中国新就业形态研究中心） </w:t>
      </w:r>
    </w:p>
    <w:p w14:paraId="35BC83CD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美团2025年Q1骑手收入数据 </w:t>
      </w:r>
    </w:p>
    <w:p w14:paraId="1A76EBA4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北京市住建委2025年住房保障工作部署 </w:t>
      </w:r>
    </w:p>
    <w:p w14:paraId="7818D955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北京市教委2024年教育经费执行情况公告 </w:t>
      </w:r>
    </w:p>
    <w:p w14:paraId="20B88B87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北京市卫健委2024年卫生健康工作概况 </w:t>
      </w:r>
    </w:p>
    <w:p w14:paraId="582E25AA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北京市卫健委2025年卫生资源统计公报 安居客2025年北京各区二手房挂牌均价 北京市轨道交通指挥中心2024年客流概况 《北京市老龄事业发展报告（2024）》 </w:t>
      </w:r>
    </w:p>
    <w:p w14:paraId="4FE47B29">
      <w:pPr>
        <w:numPr>
          <w:numId w:val="0"/>
        </w:numPr>
        <w:spacing w:after="120" w:line="360" w:lineRule="auto"/>
        <w:ind w:firstLine="420" w:firstLineChars="20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《北京市养老服务条例》（2026年7月1日施行） </w:t>
      </w:r>
    </w:p>
    <w:p w14:paraId="36DA1C69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北京市人社局2025年积分落户公示通告 《北京统计年鉴（2025）》 </w:t>
      </w:r>
    </w:p>
    <w:p w14:paraId="00DF9B0B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 xml:space="preserve">《北京人口发展研究报告2025》 </w:t>
      </w:r>
    </w:p>
    <w:p w14:paraId="44C0A80F">
      <w:pPr>
        <w:numPr>
          <w:numId w:val="0"/>
        </w:numPr>
        <w:spacing w:after="120" w:line="360" w:lineRule="auto"/>
        <w:ind w:left="420" w:leftChars="0"/>
        <w:jc w:val="both"/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</w:pPr>
      <w:r>
        <w:rPr>
          <w:rFonts w:ascii="微软雅黑" w:hAnsi="微软雅黑" w:eastAsia="微软雅黑" w:cstheme="minorBidi"/>
          <w:sz w:val="21"/>
          <w:szCs w:val="22"/>
          <w:lang w:val="en-US" w:eastAsia="en-US" w:bidi="ar-SA"/>
        </w:rPr>
        <w:t>《北京蓝皮书：北京社会发展报告（2024-2025）》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6775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60" w:lineRule="auto"/>
    </w:pPr>
    <w:rPr>
      <w:rFonts w:ascii="微软雅黑" w:hAnsi="微软雅黑" w:eastAsia="微软雅黑" w:cstheme="minorBidi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240"/>
      <w:outlineLvl w:val="0"/>
    </w:pPr>
    <w:rPr>
      <w:rFonts w:asciiTheme="majorHAnsi" w:hAnsiTheme="majorHAnsi" w:eastAsiaTheme="majorEastAsia" w:cstheme="majorBidi"/>
      <w:b/>
      <w:bCs/>
      <w:color w:val="1F3864"/>
      <w:sz w:val="3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360" w:after="160"/>
      <w:outlineLvl w:val="1"/>
    </w:pPr>
    <w:rPr>
      <w:rFonts w:asciiTheme="majorHAnsi" w:hAnsiTheme="majorHAnsi" w:eastAsiaTheme="majorEastAsia" w:cstheme="majorBidi"/>
      <w:b/>
      <w:bCs/>
      <w:color w:val="1F3864"/>
      <w:sz w:val="28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40" w:after="120"/>
      <w:outlineLvl w:val="2"/>
    </w:pPr>
    <w:rPr>
      <w:rFonts w:asciiTheme="majorHAnsi" w:hAnsiTheme="majorHAnsi" w:eastAsiaTheme="majorEastAsia" w:cstheme="majorBidi"/>
      <w:b/>
      <w:bCs/>
      <w:color w:val="1F3864"/>
      <w:sz w:val="24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792</Words>
  <Characters>1021</Characters>
  <Lines>0</Lines>
  <Paragraphs>0</Paragraphs>
  <TotalTime>6</TotalTime>
  <ScaleCrop>false</ScaleCrop>
  <LinksUpToDate>false</LinksUpToDate>
  <CharactersWithSpaces>1024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慕继海</cp:lastModifiedBy>
  <dcterms:modified xsi:type="dcterms:W3CDTF">2026-07-02T07:54:34Z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eyJoZGlkIjoiZDk5ZmZiNDYwNGU0YTM3ODI4N2Y4ODg0NzlmYzFiYzIiLCJ1c2VySWQiOiI0NTA3NzA0MDkifQ==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C07EAE85A32743A9AD82143B30E9599C_12</vt:lpwstr>
  </property>
</Properties>
</file>